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3499" w14:textId="7F79C406" w:rsidR="001050E1" w:rsidRPr="005440D2" w:rsidRDefault="001050E1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ROMÂNIA</w:t>
      </w:r>
    </w:p>
    <w:p w14:paraId="5BAA0C74" w14:textId="0578F0C4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JUDEŢUL SATU MARE</w:t>
      </w:r>
    </w:p>
    <w:p w14:paraId="25ACA133" w14:textId="77777777" w:rsidR="007179FC" w:rsidRPr="005440D2" w:rsidRDefault="007179FC" w:rsidP="008F556C">
      <w:pPr>
        <w:keepNext/>
        <w:spacing w:after="0" w:line="276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CONSILIUL JUDEŢEAN </w:t>
      </w:r>
    </w:p>
    <w:p w14:paraId="1DA61081" w14:textId="5652CA80" w:rsidR="007179FC" w:rsidRPr="005440D2" w:rsidRDefault="007179FC" w:rsidP="008F556C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 xml:space="preserve">Serviciul </w:t>
      </w:r>
      <w:r w:rsidR="00A733C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 w:eastAsia="x-none"/>
          <w14:ligatures w14:val="none"/>
        </w:rPr>
        <w:t>managementul resurselor umane</w:t>
      </w:r>
    </w:p>
    <w:p w14:paraId="0789DA02" w14:textId="7C8AFC2E" w:rsidR="007179FC" w:rsidRDefault="007179FC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Nr._______/______202</w:t>
      </w:r>
      <w:r w:rsidR="004300B1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5</w:t>
      </w:r>
    </w:p>
    <w:p w14:paraId="481A36DA" w14:textId="77777777" w:rsidR="00243337" w:rsidRDefault="00243337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1A65C37E" w14:textId="77777777" w:rsidR="00A83543" w:rsidRDefault="00A83543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078445E0" w14:textId="77777777" w:rsidR="00F878C1" w:rsidRPr="005440D2" w:rsidRDefault="00F878C1" w:rsidP="00EB2D2F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</w:p>
    <w:p w14:paraId="4E7D21DE" w14:textId="1397D500" w:rsidR="007179FC" w:rsidRPr="005440D2" w:rsidRDefault="007179FC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 w:eastAsia="x-none"/>
          <w14:ligatures w14:val="none"/>
        </w:rPr>
        <w:t>RAPORT DE SPECIALITATE</w:t>
      </w:r>
    </w:p>
    <w:p w14:paraId="51268797" w14:textId="30B737A4" w:rsidR="003578EF" w:rsidRPr="005440D2" w:rsidRDefault="00C87552" w:rsidP="003578E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bookmarkStart w:id="0" w:name="_Hlk177723370"/>
      <w:bookmarkStart w:id="1" w:name="_Hlk198882777"/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195923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Statului de funcții </w:t>
      </w:r>
    </w:p>
    <w:p w14:paraId="00DCD33E" w14:textId="34851A8A" w:rsidR="00C87552" w:rsidRDefault="00C87552" w:rsidP="008F556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</w:t>
      </w:r>
      <w:r w:rsidR="00243337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</w:t>
      </w:r>
      <w:r w:rsidR="003578EF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aparatului de specialitate al 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Consiliului Județean Satu Mare</w:t>
      </w:r>
    </w:p>
    <w:bookmarkEnd w:id="0"/>
    <w:p w14:paraId="4BFD7B13" w14:textId="77777777" w:rsidR="007179FC" w:rsidRDefault="007179FC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bookmarkEnd w:id="1"/>
    <w:p w14:paraId="72AE3C0F" w14:textId="77777777" w:rsidR="003578EF" w:rsidRPr="00AE50BA" w:rsidRDefault="003578EF" w:rsidP="008F556C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317A072D" w14:textId="16E85B3B" w:rsidR="004D26A6" w:rsidRDefault="004D26A6" w:rsidP="008F556C">
      <w:pPr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2" w:name="_Hlk185335713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Potrivit prevederilor art. 173 alin. (2) lit. c) din Ordonanța de Urgență a Guvernului nr. 57/2019 privind Codul Administrativ, cu modificările și completările ulterioare, consiliul județean are ca atribuție aprobarea, în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condițiile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legii, la propunerea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președintelui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a regulamentului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organigrama, statul de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regulamentul de organizare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funcționare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aparatului de specialitate al consiliului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precum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și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ale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instituțiilor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publice de interes </w:t>
      </w:r>
      <w:r w:rsidR="006A0D48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județean</w:t>
      </w:r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p w14:paraId="34A0D108" w14:textId="4048124B" w:rsidR="00A83543" w:rsidRPr="00FF0D24" w:rsidRDefault="00A83543" w:rsidP="00FF0D24">
      <w:pPr>
        <w:pStyle w:val="BodyText"/>
        <w:ind w:firstLine="720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3" w:name="_Hlk143863494"/>
      <w:bookmarkStart w:id="4" w:name="_Hlk198727010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Având în vedere faptul că la nivelul Consiliului </w:t>
      </w:r>
      <w:proofErr w:type="spellStart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Judeţean</w:t>
      </w:r>
      <w:proofErr w:type="spellEnd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Satu Mare a fost organizat examenul de promovare în gradul profesional imediat superior celui </w:t>
      </w:r>
      <w:proofErr w:type="spellStart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deţinut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 la care au participat doi</w:t>
      </w:r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proofErr w:type="spellStart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funcţionar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</w:t>
      </w:r>
      <w:proofErr w:type="spellEnd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public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i</w:t>
      </w:r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din cadrul aparatului de specialitate al Consiliului </w:t>
      </w:r>
      <w:proofErr w:type="spellStart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Judeţean</w:t>
      </w:r>
      <w:proofErr w:type="spellEnd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Satu Mare, la finalizarea căruia a fost întocmit Raportul final al examenului de promovare în gradul profesional imediat superior celui </w:t>
      </w:r>
      <w:proofErr w:type="spellStart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deţinut</w:t>
      </w:r>
      <w:proofErr w:type="spellEnd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, înregistrat în </w:t>
      </w:r>
      <w:proofErr w:type="spellStart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corespondenţa</w:t>
      </w:r>
      <w:proofErr w:type="spellEnd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internă cu nr</w:t>
      </w:r>
      <w:r w:rsidRPr="00FF0D24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. </w:t>
      </w:r>
      <w:bookmarkStart w:id="5" w:name="_Hlk85697743"/>
      <w:r w:rsidR="00FF0D24" w:rsidRPr="00FF0D24">
        <w:rPr>
          <w:rFonts w:ascii="Times New Roman" w:hAnsi="Times New Roman" w:cs="Times New Roman"/>
          <w:sz w:val="24"/>
          <w:szCs w:val="24"/>
        </w:rPr>
        <w:t>13037/20.06.202</w:t>
      </w:r>
      <w:bookmarkEnd w:id="5"/>
      <w:r w:rsidR="00FF0D24" w:rsidRPr="00FF0D24">
        <w:rPr>
          <w:rFonts w:ascii="Times New Roman" w:hAnsi="Times New Roman" w:cs="Times New Roman"/>
          <w:sz w:val="24"/>
          <w:szCs w:val="24"/>
        </w:rPr>
        <w:t>5</w:t>
      </w:r>
      <w:r w:rsidRPr="00FF0D24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</w:t>
      </w:r>
    </w:p>
    <w:bookmarkEnd w:id="3"/>
    <w:p w14:paraId="16037A7A" w14:textId="4DC21686" w:rsidR="0019510C" w:rsidRPr="00A83543" w:rsidRDefault="0019510C" w:rsidP="00A835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Raportat la</w:t>
      </w:r>
      <w:bookmarkStart w:id="6" w:name="_Hlk170200493"/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Hotărârea Consiliului Județean Satu Mare nr.</w:t>
      </w:r>
      <w:r w:rsid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66</w:t>
      </w:r>
      <w:r w:rsidR="004300B1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/</w:t>
      </w:r>
      <w:r w:rsidR="003528B7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202</w:t>
      </w:r>
      <w:r w:rsid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5</w:t>
      </w:r>
      <w:r w:rsidR="003528B7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3528B7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privind</w:t>
      </w:r>
      <w:r w:rsidR="003578EF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modificarea</w:t>
      </w:r>
      <w:r w:rsidR="003528B7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Statului de funcții al aparatului de specialitate ale Consiliului Județean Satu Mare</w:t>
      </w:r>
      <w:r w:rsidR="00BD50D7"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,</w:t>
      </w:r>
    </w:p>
    <w:p w14:paraId="1EBE4154" w14:textId="77777777" w:rsidR="00243337" w:rsidRDefault="00243337" w:rsidP="00A835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</w:p>
    <w:bookmarkEnd w:id="4"/>
    <w:p w14:paraId="0BC8B029" w14:textId="77777777" w:rsidR="00BD50D7" w:rsidRPr="00A83543" w:rsidRDefault="00BD50D7" w:rsidP="00A8354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 w:rsidRPr="00A83543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ținând cont de următoarele prevederi legislative:</w:t>
      </w:r>
    </w:p>
    <w:bookmarkEnd w:id="2"/>
    <w:p w14:paraId="075DB34B" w14:textId="77777777" w:rsidR="00A02333" w:rsidRPr="00A02333" w:rsidRDefault="00A02333" w:rsidP="00A02333">
      <w:pPr>
        <w:tabs>
          <w:tab w:val="left" w:pos="900"/>
        </w:tabs>
        <w:autoSpaceDE w:val="0"/>
        <w:autoSpaceDN w:val="0"/>
        <w:adjustRightInd w:val="0"/>
        <w:ind w:firstLine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2333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Titlul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II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Statutul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funcționarilor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publici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Capitolul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VI -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Cariera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funcționarilor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publici</w:t>
      </w:r>
      <w:proofErr w:type="spellEnd"/>
      <w:r w:rsidRPr="00A0233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2333">
        <w:rPr>
          <w:rFonts w:ascii="Times New Roman" w:eastAsia="Calibri" w:hAnsi="Times New Roman" w:cs="Times New Roman"/>
          <w:sz w:val="24"/>
          <w:szCs w:val="24"/>
        </w:rPr>
        <w:t>Secțiunea</w:t>
      </w:r>
      <w:proofErr w:type="spellEnd"/>
      <w:r w:rsidRPr="00A02333">
        <w:rPr>
          <w:rFonts w:ascii="Times New Roman" w:eastAsia="Calibri" w:hAnsi="Times New Roman" w:cs="Times New Roman"/>
          <w:sz w:val="24"/>
          <w:szCs w:val="24"/>
        </w:rPr>
        <w:t xml:space="preserve"> a 3-a -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Promovarea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funcţionarilor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publici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şi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evaluarea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performanţelor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profesionale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02333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proofErr w:type="spellStart"/>
      <w:r w:rsidRPr="00A02333">
        <w:rPr>
          <w:rFonts w:ascii="Times New Roman" w:hAnsi="Times New Roman" w:cs="Times New Roman"/>
          <w:sz w:val="24"/>
          <w:szCs w:val="24"/>
        </w:rPr>
        <w:t>Ordonanța</w:t>
      </w:r>
      <w:proofErr w:type="spellEnd"/>
      <w:r w:rsidRPr="00A0233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02333">
        <w:rPr>
          <w:rFonts w:ascii="Times New Roman" w:hAnsi="Times New Roman" w:cs="Times New Roman"/>
          <w:sz w:val="24"/>
          <w:szCs w:val="24"/>
        </w:rPr>
        <w:t>Urgență</w:t>
      </w:r>
      <w:proofErr w:type="spellEnd"/>
      <w:r w:rsidRPr="00A0233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02333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A02333">
        <w:rPr>
          <w:rFonts w:ascii="Times New Roman" w:hAnsi="Times New Roman" w:cs="Times New Roman"/>
          <w:sz w:val="24"/>
          <w:szCs w:val="24"/>
        </w:rPr>
        <w:t xml:space="preserve"> nr.57/2019 </w:t>
      </w:r>
      <w:proofErr w:type="spellStart"/>
      <w:r w:rsidRPr="00A02333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0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333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Pr="00A023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2333">
        <w:rPr>
          <w:rFonts w:ascii="Times New Roman" w:hAnsi="Times New Roman" w:cs="Times New Roman"/>
          <w:sz w:val="24"/>
          <w:szCs w:val="24"/>
        </w:rPr>
        <w:t>administrativ</w:t>
      </w:r>
      <w:proofErr w:type="spellEnd"/>
      <w:r w:rsidRPr="00A02333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</w:t>
      </w:r>
      <w:r w:rsidRPr="00A02333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30B3FFAA" w14:textId="77777777" w:rsidR="00A02333" w:rsidRPr="00A02333" w:rsidRDefault="00A02333" w:rsidP="00A02333">
      <w:pPr>
        <w:tabs>
          <w:tab w:val="left" w:pos="900"/>
        </w:tabs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Titlul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III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Dezvoltarea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carierei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funcționarilor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publici</w:t>
      </w:r>
      <w:proofErr w:type="spellEnd"/>
      <w:r w:rsidRPr="00A0233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Capitolul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II</w:t>
      </w:r>
      <w:r w:rsidRPr="00A02333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Promovarea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funcţionarilor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publici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proofErr w:type="spellStart"/>
      <w:r w:rsidRPr="00A02333">
        <w:rPr>
          <w:rFonts w:ascii="Times New Roman" w:eastAsia="Calibri" w:hAnsi="Times New Roman" w:cs="Times New Roman"/>
          <w:sz w:val="24"/>
          <w:szCs w:val="24"/>
        </w:rPr>
        <w:t>Secțiunea</w:t>
      </w:r>
      <w:proofErr w:type="spellEnd"/>
      <w:r w:rsidRPr="00A02333">
        <w:rPr>
          <w:rFonts w:ascii="Times New Roman" w:eastAsia="Calibri" w:hAnsi="Times New Roman" w:cs="Times New Roman"/>
          <w:sz w:val="24"/>
          <w:szCs w:val="24"/>
        </w:rPr>
        <w:t xml:space="preserve"> a 2-a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Promovarea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A02333">
        <w:rPr>
          <w:rFonts w:ascii="Times New Roman" w:eastAsia="Calibri" w:hAnsi="Times New Roman" w:cs="Times New Roman"/>
          <w:bCs/>
          <w:sz w:val="24"/>
          <w:szCs w:val="24"/>
        </w:rPr>
        <w:t>în</w:t>
      </w:r>
      <w:proofErr w:type="spellEnd"/>
      <w:r w:rsidRPr="00A02333">
        <w:rPr>
          <w:rFonts w:ascii="Times New Roman" w:eastAsia="Calibri" w:hAnsi="Times New Roman" w:cs="Times New Roman"/>
          <w:bCs/>
          <w:sz w:val="24"/>
          <w:szCs w:val="24"/>
        </w:rPr>
        <w:t xml:space="preserve"> grad professional </w:t>
      </w:r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din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Anexa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nr. 10 NORME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privind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organizarea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şi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dezvoltarea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carierei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funcţionarilor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publici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din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cadrul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autorităţilor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şi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instituţiilor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publice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în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cadrul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cărora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sunt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stabilite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funcţiile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publice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prevăzute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la art. 385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alin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. (1)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şi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(2) din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prezentul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cod, cu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excepţia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celor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care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beneficiază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statute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speciale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în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condiţiile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legii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aprobată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prin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Ordonanţa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de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Urgenţă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Guvernului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nr. 57/2019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privind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Codul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administrativ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cu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modificările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şi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completările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ulterioare</w:t>
      </w:r>
      <w:proofErr w:type="spellEnd"/>
      <w:r w:rsidRPr="00A0233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03B4CFDC" w14:textId="77777777" w:rsidR="00A83543" w:rsidRPr="00A83543" w:rsidRDefault="00A83543" w:rsidP="00A83543">
      <w:pPr>
        <w:pStyle w:val="BodyText3"/>
        <w:spacing w:after="0"/>
        <w:contextualSpacing/>
        <w:jc w:val="both"/>
        <w:rPr>
          <w:sz w:val="24"/>
          <w:szCs w:val="24"/>
          <w:lang w:val="ro-RO"/>
        </w:rPr>
      </w:pPr>
      <w:r w:rsidRPr="00A83543">
        <w:rPr>
          <w:sz w:val="24"/>
          <w:szCs w:val="24"/>
          <w:lang w:val="ro-RO"/>
        </w:rPr>
        <w:tab/>
        <w:t>-Legea cadru nr.153/2017 privind salarizarea personalului plătit din fonduri publice, cu modificările și completările ulterioare,</w:t>
      </w:r>
    </w:p>
    <w:p w14:paraId="52254779" w14:textId="17200408" w:rsidR="00BD50D7" w:rsidRPr="00A83543" w:rsidRDefault="00A00A95" w:rsidP="00A83543">
      <w:pPr>
        <w:pStyle w:val="BodyText3"/>
        <w:spacing w:after="0"/>
        <w:contextualSpacing/>
        <w:mirrorIndents/>
        <w:jc w:val="both"/>
        <w:rPr>
          <w:sz w:val="24"/>
          <w:szCs w:val="24"/>
          <w:lang w:val="ro-RO"/>
        </w:rPr>
      </w:pPr>
      <w:r w:rsidRPr="00A83543">
        <w:rPr>
          <w:sz w:val="24"/>
          <w:szCs w:val="24"/>
          <w:lang w:val="ro-RO"/>
        </w:rPr>
        <w:t xml:space="preserve">            </w:t>
      </w:r>
      <w:r w:rsidR="00BD50D7" w:rsidRPr="00A83543">
        <w:rPr>
          <w:sz w:val="24"/>
          <w:szCs w:val="24"/>
          <w:lang w:val="ro-RO"/>
        </w:rPr>
        <w:t>se propun</w:t>
      </w:r>
      <w:r w:rsidR="004300B1" w:rsidRPr="00A83543">
        <w:rPr>
          <w:sz w:val="24"/>
          <w:szCs w:val="24"/>
          <w:lang w:val="ro-RO"/>
        </w:rPr>
        <w:t>e</w:t>
      </w:r>
      <w:r w:rsidR="00BD50D7" w:rsidRPr="00A83543">
        <w:rPr>
          <w:sz w:val="24"/>
          <w:szCs w:val="24"/>
          <w:lang w:val="ro-RO"/>
        </w:rPr>
        <w:t xml:space="preserve"> următoare</w:t>
      </w:r>
      <w:r w:rsidR="004300B1" w:rsidRPr="00A83543">
        <w:rPr>
          <w:sz w:val="24"/>
          <w:szCs w:val="24"/>
          <w:lang w:val="ro-RO"/>
        </w:rPr>
        <w:t>a</w:t>
      </w:r>
      <w:r w:rsidR="00BD50D7" w:rsidRPr="00A83543">
        <w:rPr>
          <w:sz w:val="24"/>
          <w:szCs w:val="24"/>
          <w:lang w:val="ro-RO"/>
        </w:rPr>
        <w:t xml:space="preserve"> modific</w:t>
      </w:r>
      <w:r w:rsidR="004300B1" w:rsidRPr="00A83543">
        <w:rPr>
          <w:sz w:val="24"/>
          <w:szCs w:val="24"/>
          <w:lang w:val="ro-RO"/>
        </w:rPr>
        <w:t>are</w:t>
      </w:r>
      <w:r w:rsidR="00BD50D7" w:rsidRPr="00A83543">
        <w:rPr>
          <w:sz w:val="24"/>
          <w:szCs w:val="24"/>
          <w:lang w:val="ro-RO"/>
        </w:rPr>
        <w:t xml:space="preserve"> în cadrul Statului de </w:t>
      </w:r>
      <w:proofErr w:type="spellStart"/>
      <w:r w:rsidR="00BD50D7" w:rsidRPr="00A83543">
        <w:rPr>
          <w:sz w:val="24"/>
          <w:szCs w:val="24"/>
          <w:lang w:val="ro-RO"/>
        </w:rPr>
        <w:t>funcţii</w:t>
      </w:r>
      <w:proofErr w:type="spellEnd"/>
      <w:r w:rsidR="00BD50D7" w:rsidRPr="00A83543">
        <w:rPr>
          <w:sz w:val="24"/>
          <w:szCs w:val="24"/>
          <w:lang w:val="ro-RO"/>
        </w:rPr>
        <w:t xml:space="preserve">: </w:t>
      </w:r>
    </w:p>
    <w:p w14:paraId="7B33C7D7" w14:textId="77777777" w:rsidR="00BD50D7" w:rsidRPr="00A83543" w:rsidRDefault="00BD50D7" w:rsidP="00A83543">
      <w:pPr>
        <w:pStyle w:val="BodyText3"/>
        <w:contextualSpacing/>
        <w:mirrorIndents/>
        <w:jc w:val="both"/>
        <w:rPr>
          <w:sz w:val="24"/>
          <w:szCs w:val="24"/>
          <w:lang w:val="ro-RO"/>
        </w:rPr>
      </w:pP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1795"/>
        <w:gridCol w:w="2250"/>
        <w:gridCol w:w="2790"/>
        <w:gridCol w:w="3420"/>
      </w:tblGrid>
      <w:tr w:rsidR="00BD50D7" w14:paraId="5288788E" w14:textId="77777777" w:rsidTr="00F878C1">
        <w:tc>
          <w:tcPr>
            <w:tcW w:w="1795" w:type="dxa"/>
          </w:tcPr>
          <w:p w14:paraId="0C868FF9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Nr. poziție în Statul de funcții</w:t>
            </w:r>
          </w:p>
        </w:tc>
        <w:tc>
          <w:tcPr>
            <w:tcW w:w="2250" w:type="dxa"/>
          </w:tcPr>
          <w:p w14:paraId="214E0984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Denumirea funcției existente</w:t>
            </w:r>
          </w:p>
        </w:tc>
        <w:tc>
          <w:tcPr>
            <w:tcW w:w="2790" w:type="dxa"/>
          </w:tcPr>
          <w:p w14:paraId="49CFE06C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Modificarea propusă</w:t>
            </w:r>
          </w:p>
        </w:tc>
        <w:tc>
          <w:tcPr>
            <w:tcW w:w="3420" w:type="dxa"/>
          </w:tcPr>
          <w:p w14:paraId="46E17669" w14:textId="77777777" w:rsidR="00BD50D7" w:rsidRPr="00CA25CF" w:rsidRDefault="00BD50D7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  <w:lang w:val="ro-RO"/>
              </w:rPr>
              <w:t>Denumirea funcției după modificare</w:t>
            </w:r>
          </w:p>
        </w:tc>
      </w:tr>
      <w:tr w:rsidR="0030380C" w14:paraId="0C825699" w14:textId="77777777" w:rsidTr="00F878C1">
        <w:tc>
          <w:tcPr>
            <w:tcW w:w="1795" w:type="dxa"/>
          </w:tcPr>
          <w:p w14:paraId="5885B454" w14:textId="50A119E9" w:rsidR="0030380C" w:rsidRPr="00CA25CF" w:rsidRDefault="0030380C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2250" w:type="dxa"/>
          </w:tcPr>
          <w:p w14:paraId="1C63E511" w14:textId="1315D0A3" w:rsidR="0030380C" w:rsidRPr="00CA25CF" w:rsidRDefault="0030380C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achiziții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publice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>, principal S</w:t>
            </w:r>
          </w:p>
        </w:tc>
        <w:tc>
          <w:tcPr>
            <w:tcW w:w="2790" w:type="dxa"/>
            <w:vMerge w:val="restart"/>
          </w:tcPr>
          <w:p w14:paraId="0C86D16F" w14:textId="77777777" w:rsidR="0030380C" w:rsidRDefault="0030380C" w:rsidP="004300B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84FE32E" w14:textId="02D3A5A8" w:rsidR="0030380C" w:rsidRDefault="0030380C" w:rsidP="004300B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 w:rsidRPr="00582D7C">
              <w:rPr>
                <w:rFonts w:eastAsia="Calibri"/>
                <w:bCs/>
                <w:sz w:val="24"/>
                <w:szCs w:val="24"/>
              </w:rPr>
              <w:t>Transformare</w:t>
            </w:r>
            <w:proofErr w:type="spellEnd"/>
            <w:r w:rsidRPr="00582D7C">
              <w:rPr>
                <w:rFonts w:eastAsia="Calibri"/>
                <w:bCs/>
                <w:sz w:val="24"/>
                <w:szCs w:val="24"/>
              </w:rPr>
              <w:t xml:space="preserve"> post</w:t>
            </w:r>
          </w:p>
          <w:p w14:paraId="3F577BE4" w14:textId="1BCB170F" w:rsidR="0030380C" w:rsidRPr="00CA25CF" w:rsidRDefault="0030380C" w:rsidP="004300B1">
            <w:pPr>
              <w:pStyle w:val="BodyText3"/>
              <w:spacing w:after="100" w:afterAutospacing="1"/>
              <w:ind w:hanging="14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82D7C"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prin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promovare</w:t>
            </w:r>
            <w:proofErr w:type="spellEnd"/>
          </w:p>
        </w:tc>
        <w:tc>
          <w:tcPr>
            <w:tcW w:w="3420" w:type="dxa"/>
          </w:tcPr>
          <w:p w14:paraId="1A38B4F2" w14:textId="422B1B6E" w:rsidR="0030380C" w:rsidRPr="00CA25CF" w:rsidRDefault="0030380C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achiziții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Calibri"/>
                <w:bCs/>
                <w:sz w:val="24"/>
                <w:szCs w:val="24"/>
              </w:rPr>
              <w:t>publice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>, superior S</w:t>
            </w:r>
          </w:p>
        </w:tc>
      </w:tr>
      <w:tr w:rsidR="0030380C" w14:paraId="6FAB9D15" w14:textId="77777777" w:rsidTr="00F878C1">
        <w:tc>
          <w:tcPr>
            <w:tcW w:w="1795" w:type="dxa"/>
          </w:tcPr>
          <w:p w14:paraId="73CEE883" w14:textId="444DE51F" w:rsidR="0030380C" w:rsidRDefault="0030380C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182</w:t>
            </w:r>
          </w:p>
        </w:tc>
        <w:tc>
          <w:tcPr>
            <w:tcW w:w="2250" w:type="dxa"/>
          </w:tcPr>
          <w:p w14:paraId="63BAD077" w14:textId="7D24AC28" w:rsidR="0030380C" w:rsidRDefault="0030380C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principal S</w:t>
            </w:r>
          </w:p>
        </w:tc>
        <w:tc>
          <w:tcPr>
            <w:tcW w:w="2790" w:type="dxa"/>
            <w:vMerge/>
          </w:tcPr>
          <w:p w14:paraId="10DC59BF" w14:textId="77777777" w:rsidR="0030380C" w:rsidRPr="00582D7C" w:rsidRDefault="0030380C" w:rsidP="004300B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3420" w:type="dxa"/>
          </w:tcPr>
          <w:p w14:paraId="706BB92B" w14:textId="57E6A390" w:rsidR="0030380C" w:rsidRDefault="0030380C" w:rsidP="00863521">
            <w:pPr>
              <w:pStyle w:val="BodyText3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proofErr w:type="spellStart"/>
            <w:r>
              <w:rPr>
                <w:rFonts w:eastAsia="Calibri"/>
                <w:bCs/>
                <w:sz w:val="24"/>
                <w:szCs w:val="24"/>
              </w:rPr>
              <w:t>Consilier</w:t>
            </w:r>
            <w:proofErr w:type="spellEnd"/>
            <w:r>
              <w:rPr>
                <w:rFonts w:eastAsia="Calibri"/>
                <w:bCs/>
                <w:sz w:val="24"/>
                <w:szCs w:val="24"/>
              </w:rPr>
              <w:t xml:space="preserve"> superior S</w:t>
            </w:r>
          </w:p>
        </w:tc>
      </w:tr>
    </w:tbl>
    <w:p w14:paraId="1DEA3996" w14:textId="77777777" w:rsidR="00BD50D7" w:rsidRDefault="00BD50D7" w:rsidP="008F556C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013B30D" w14:textId="77777777" w:rsidR="0030380C" w:rsidRDefault="00F878C1" w:rsidP="00BD50D7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</w:pPr>
      <w:bookmarkStart w:id="7" w:name="_Hlk152846067"/>
      <w:bookmarkEnd w:id="6"/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lastRenderedPageBreak/>
        <w:t xml:space="preserve">      </w:t>
      </w:r>
      <w:r w:rsidR="00A6785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</w:t>
      </w:r>
    </w:p>
    <w:p w14:paraId="63602EDF" w14:textId="524B8A64" w:rsidR="00020106" w:rsidRPr="005440D2" w:rsidRDefault="0030380C" w:rsidP="00BD50D7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 xml:space="preserve">         </w:t>
      </w:r>
      <w:r w:rsidR="00A67857">
        <w:rPr>
          <w:rFonts w:ascii="Times New Roman" w:eastAsia="Calibri" w:hAnsi="Times New Roman" w:cs="Times New Roman"/>
          <w:kern w:val="0"/>
          <w:sz w:val="24"/>
          <w:szCs w:val="24"/>
          <w:lang w:val="ro-RO"/>
          <w14:ligatures w14:val="none"/>
        </w:rPr>
        <w:t>P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entru motivele și considerentele mai sus arătate 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este necesară modificarea 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Statul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ui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de funcții al</w:t>
      </w:r>
      <w:r w:rsidR="00243337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</w:t>
      </w:r>
      <w:r w:rsidR="00020106"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aparatului de specialitate al Consiliului Județean Satu Mare</w:t>
      </w:r>
      <w:r w:rsidR="0033401C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.</w:t>
      </w:r>
    </w:p>
    <w:bookmarkEnd w:id="7"/>
    <w:p w14:paraId="3FAC45DF" w14:textId="2013F718" w:rsidR="0033401C" w:rsidRPr="0033401C" w:rsidRDefault="00BF2E32" w:rsidP="0033401C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În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temeiul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prevederilor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art. 182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(4) cu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trimitere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cele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ale art. 136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(8) </w:t>
      </w:r>
      <w:proofErr w:type="spellStart"/>
      <w:proofErr w:type="gramStart"/>
      <w:r w:rsidRPr="0033401C">
        <w:rPr>
          <w:rFonts w:ascii="Times New Roman" w:hAnsi="Times New Roman" w:cs="Times New Roman"/>
          <w:iCs/>
          <w:sz w:val="24"/>
          <w:szCs w:val="24"/>
        </w:rPr>
        <w:t>lit.b</w:t>
      </w:r>
      <w:proofErr w:type="spellEnd"/>
      <w:proofErr w:type="gram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)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alin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. (10) din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Ordonanța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urgență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Guvernului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nr. 57/2019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privind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Codul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administrativ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, cu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modificările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și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completările</w:t>
      </w:r>
      <w:proofErr w:type="spellEnd"/>
      <w:r w:rsidRPr="0033401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33401C">
        <w:rPr>
          <w:rFonts w:ascii="Times New Roman" w:hAnsi="Times New Roman" w:cs="Times New Roman"/>
          <w:iCs/>
          <w:sz w:val="24"/>
          <w:szCs w:val="24"/>
        </w:rPr>
        <w:t>ulterioare</w:t>
      </w:r>
      <w:proofErr w:type="spellEnd"/>
      <w:r w:rsidR="00801011">
        <w:rPr>
          <w:rFonts w:ascii="Times New Roman" w:hAnsi="Times New Roman" w:cs="Times New Roman"/>
          <w:iCs/>
          <w:sz w:val="24"/>
          <w:szCs w:val="24"/>
        </w:rPr>
        <w:t>,</w:t>
      </w:r>
    </w:p>
    <w:p w14:paraId="76A70276" w14:textId="77777777" w:rsidR="00801011" w:rsidRDefault="00801011" w:rsidP="008F556C">
      <w:pPr>
        <w:autoSpaceDE w:val="0"/>
        <w:autoSpaceDN w:val="0"/>
        <w:adjustRightInd w:val="0"/>
        <w:spacing w:after="0" w:line="276" w:lineRule="auto"/>
        <w:jc w:val="center"/>
        <w:rPr>
          <w:iCs/>
        </w:rPr>
      </w:pPr>
    </w:p>
    <w:p w14:paraId="761BEEB9" w14:textId="4F0153E7" w:rsidR="00020106" w:rsidRPr="005440D2" w:rsidRDefault="00020106" w:rsidP="008F556C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>PROPUNEM:</w:t>
      </w:r>
    </w:p>
    <w:p w14:paraId="6C00226F" w14:textId="380FABB7" w:rsidR="00C86627" w:rsidRPr="005440D2" w:rsidRDefault="00020106" w:rsidP="00C8662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adoptarea Proiectului de hotărâre </w:t>
      </w:r>
      <w:r w:rsidR="00C86627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privind </w:t>
      </w:r>
      <w:r w:rsidR="00C86627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modificarea</w:t>
      </w:r>
      <w:r w:rsidR="00C86627"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Statului de funcții </w:t>
      </w:r>
    </w:p>
    <w:p w14:paraId="5C35DACF" w14:textId="4C3B6BC3" w:rsidR="00C86627" w:rsidRDefault="00C86627" w:rsidP="00C8662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al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 xml:space="preserve"> aparatului de specialitate al </w:t>
      </w:r>
      <w:r w:rsidRPr="005440D2">
        <w:rPr>
          <w:rFonts w:ascii="Times New Roman" w:eastAsia="Times New Roman" w:hAnsi="Times New Roman" w:cs="Times New Roman"/>
          <w:b/>
          <w:kern w:val="0"/>
          <w:sz w:val="24"/>
          <w:szCs w:val="24"/>
          <w:lang w:val="ro-RO"/>
          <w14:ligatures w14:val="none"/>
        </w:rPr>
        <w:t>Consiliului Județean Satu Mare</w:t>
      </w:r>
    </w:p>
    <w:p w14:paraId="747BA3A8" w14:textId="191812FD" w:rsidR="002F328E" w:rsidRDefault="002F328E" w:rsidP="00C8662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749C025F" w14:textId="77777777" w:rsidR="00801011" w:rsidRPr="00AE50BA" w:rsidRDefault="00801011" w:rsidP="008F556C">
      <w:pPr>
        <w:tabs>
          <w:tab w:val="left" w:pos="5347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</w:pPr>
    </w:p>
    <w:p w14:paraId="1B71CA1A" w14:textId="77777777" w:rsidR="00020106" w:rsidRPr="005440D2" w:rsidRDefault="00020106" w:rsidP="008F556C">
      <w:pPr>
        <w:spacing w:after="0" w:line="276" w:lineRule="auto"/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spacing w:val="-10"/>
          <w:kern w:val="0"/>
          <w:sz w:val="24"/>
          <w:szCs w:val="24"/>
          <w:lang w:val="ro-RO"/>
          <w14:ligatures w14:val="none"/>
        </w:rPr>
        <w:t xml:space="preserve">                             </w:t>
      </w: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ŞEF SERVICIU,                                                  </w:t>
      </w:r>
      <w:r w:rsidRPr="005440D2">
        <w:rPr>
          <w:rFonts w:ascii="Times New Roman" w:eastAsia="Times New Roman" w:hAnsi="Times New Roman" w:cs="Times New Roman"/>
          <w:b/>
          <w:bCs/>
          <w:spacing w:val="-9"/>
          <w:kern w:val="0"/>
          <w:sz w:val="24"/>
          <w:szCs w:val="24"/>
          <w:lang w:val="ro-RO"/>
          <w14:ligatures w14:val="none"/>
        </w:rPr>
        <w:t xml:space="preserve">VIZAT JURIDIC, </w:t>
      </w:r>
    </w:p>
    <w:p w14:paraId="776305DC" w14:textId="230C3B5C" w:rsidR="00020106" w:rsidRDefault="00020106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  <w:r w:rsidRPr="005440D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ro-RO"/>
          <w14:ligatures w14:val="none"/>
        </w:rPr>
        <w:t xml:space="preserve">                              </w:t>
      </w:r>
      <w:proofErr w:type="spellStart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>Bîja</w:t>
      </w:r>
      <w:proofErr w:type="spellEnd"/>
      <w:r w:rsidRPr="005440D2">
        <w:rPr>
          <w:rFonts w:ascii="Times New Roman" w:eastAsia="Times New Roman" w:hAnsi="Times New Roman" w:cs="Times New Roman"/>
          <w:kern w:val="0"/>
          <w:sz w:val="24"/>
          <w:szCs w:val="24"/>
          <w:lang w:val="ro-RO"/>
          <w14:ligatures w14:val="none"/>
        </w:rPr>
        <w:t xml:space="preserve"> Tania                                                      </w:t>
      </w:r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</w:t>
      </w:r>
      <w:r w:rsidR="00AE50BA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   </w:t>
      </w:r>
      <w:proofErr w:type="spellStart"/>
      <w:r w:rsidR="00801011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>Bodó</w:t>
      </w:r>
      <w:proofErr w:type="spellEnd"/>
      <w:r w:rsidRPr="005440D2"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  <w:t xml:space="preserve"> Nicoleta </w:t>
      </w:r>
    </w:p>
    <w:p w14:paraId="693C620D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75C6C5E3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52FE2AA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52C5F8E6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31DF5693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5987791E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19E00158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3DA9B202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60349EE0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6A3F04C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75F3BF38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30FD8DC7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A4FBAA3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592335DF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60E7D633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672B7DF6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4187CBB4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0C0C0B38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4544B20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40049AEB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E4E958E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12877C7D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36EE473B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5E4191B4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418AD508" w14:textId="77777777" w:rsidR="002163C1" w:rsidRDefault="002163C1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7B6FC774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7CE54C64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29A761D8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539F6EBF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p w14:paraId="3FEFF71C" w14:textId="77777777" w:rsidR="00A23EAA" w:rsidRPr="00A23EAA" w:rsidRDefault="00A23EAA" w:rsidP="00A23EAA">
      <w:pPr>
        <w:ind w:left="-850"/>
        <w:jc w:val="both"/>
        <w:rPr>
          <w:rFonts w:ascii="Times New Roman" w:hAnsi="Times New Roman" w:cs="Times New Roman"/>
          <w:sz w:val="16"/>
          <w:szCs w:val="16"/>
          <w:lang w:val="ro-RO"/>
        </w:rPr>
      </w:pPr>
      <w:r w:rsidRPr="00A23EAA">
        <w:rPr>
          <w:rFonts w:ascii="Times New Roman" w:hAnsi="Times New Roman" w:cs="Times New Roman"/>
          <w:sz w:val="16"/>
          <w:szCs w:val="16"/>
          <w:lang w:val="ro-RO"/>
        </w:rPr>
        <w:t xml:space="preserve">                              </w:t>
      </w:r>
      <w:bookmarkStart w:id="8" w:name="_Hlk27034113"/>
      <w:bookmarkStart w:id="9" w:name="_Hlk514914568"/>
      <w:r w:rsidRPr="00A23EAA">
        <w:rPr>
          <w:rFonts w:ascii="Times New Roman" w:hAnsi="Times New Roman" w:cs="Times New Roman"/>
          <w:sz w:val="16"/>
          <w:szCs w:val="16"/>
          <w:lang w:val="ro-RO"/>
        </w:rPr>
        <w:t>Red./Tehn. B.N. 5ex.</w:t>
      </w:r>
      <w:bookmarkEnd w:id="8"/>
      <w:bookmarkEnd w:id="9"/>
    </w:p>
    <w:p w14:paraId="0FB0B38C" w14:textId="77777777" w:rsidR="00A23EAA" w:rsidRDefault="00A23EAA" w:rsidP="008F556C">
      <w:pPr>
        <w:shd w:val="clear" w:color="auto" w:fill="FFFFFF"/>
        <w:tabs>
          <w:tab w:val="left" w:pos="6653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ro-RO"/>
          <w14:ligatures w14:val="none"/>
        </w:rPr>
      </w:pPr>
    </w:p>
    <w:sectPr w:rsidR="00A23EAA" w:rsidSect="00801011">
      <w:footerReference w:type="default" r:id="rId8"/>
      <w:pgSz w:w="12240" w:h="15840"/>
      <w:pgMar w:top="45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B7EC2" w14:textId="77777777" w:rsidR="00AD0456" w:rsidRDefault="00AD0456" w:rsidP="008669A8">
      <w:pPr>
        <w:spacing w:after="0" w:line="240" w:lineRule="auto"/>
      </w:pPr>
      <w:r>
        <w:separator/>
      </w:r>
    </w:p>
  </w:endnote>
  <w:endnote w:type="continuationSeparator" w:id="0">
    <w:p w14:paraId="068107B6" w14:textId="77777777" w:rsidR="00AD0456" w:rsidRDefault="00AD0456" w:rsidP="00866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BC66D" w14:textId="7B0493FE" w:rsidR="008669A8" w:rsidRPr="008669A8" w:rsidRDefault="008669A8">
    <w:pPr>
      <w:pStyle w:val="Footer"/>
      <w:jc w:val="center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51EBC" w14:textId="77777777" w:rsidR="00AD0456" w:rsidRDefault="00AD0456" w:rsidP="008669A8">
      <w:pPr>
        <w:spacing w:after="0" w:line="240" w:lineRule="auto"/>
      </w:pPr>
      <w:r>
        <w:separator/>
      </w:r>
    </w:p>
  </w:footnote>
  <w:footnote w:type="continuationSeparator" w:id="0">
    <w:p w14:paraId="03512A99" w14:textId="77777777" w:rsidR="00AD0456" w:rsidRDefault="00AD0456" w:rsidP="00866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2A38A6"/>
    <w:multiLevelType w:val="hybridMultilevel"/>
    <w:tmpl w:val="ABB4B54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CC5FAB"/>
    <w:multiLevelType w:val="hybridMultilevel"/>
    <w:tmpl w:val="EEB2E7A4"/>
    <w:lvl w:ilvl="0" w:tplc="E1D664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689511">
    <w:abstractNumId w:val="0"/>
  </w:num>
  <w:num w:numId="2" w16cid:durableId="2135473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8A"/>
    <w:rsid w:val="00017D87"/>
    <w:rsid w:val="00020106"/>
    <w:rsid w:val="000206AF"/>
    <w:rsid w:val="00032B58"/>
    <w:rsid w:val="00033146"/>
    <w:rsid w:val="00042C8D"/>
    <w:rsid w:val="00044750"/>
    <w:rsid w:val="000551B8"/>
    <w:rsid w:val="000575EE"/>
    <w:rsid w:val="00075243"/>
    <w:rsid w:val="00077D7B"/>
    <w:rsid w:val="00080AF9"/>
    <w:rsid w:val="00083BDA"/>
    <w:rsid w:val="00092658"/>
    <w:rsid w:val="00092C02"/>
    <w:rsid w:val="000B191F"/>
    <w:rsid w:val="000E5944"/>
    <w:rsid w:val="000E7B8C"/>
    <w:rsid w:val="000F0D7A"/>
    <w:rsid w:val="001050E1"/>
    <w:rsid w:val="00135768"/>
    <w:rsid w:val="001440AC"/>
    <w:rsid w:val="0014531E"/>
    <w:rsid w:val="001524EA"/>
    <w:rsid w:val="00164D49"/>
    <w:rsid w:val="00165BE9"/>
    <w:rsid w:val="0017791C"/>
    <w:rsid w:val="00193464"/>
    <w:rsid w:val="0019510C"/>
    <w:rsid w:val="00195923"/>
    <w:rsid w:val="001B6A11"/>
    <w:rsid w:val="001C7F49"/>
    <w:rsid w:val="001E0E66"/>
    <w:rsid w:val="001E1A6E"/>
    <w:rsid w:val="001E45B2"/>
    <w:rsid w:val="001E5F47"/>
    <w:rsid w:val="001F75EC"/>
    <w:rsid w:val="00201325"/>
    <w:rsid w:val="002163C1"/>
    <w:rsid w:val="00230D71"/>
    <w:rsid w:val="00235A70"/>
    <w:rsid w:val="00243337"/>
    <w:rsid w:val="00254548"/>
    <w:rsid w:val="00254EE5"/>
    <w:rsid w:val="00256D2D"/>
    <w:rsid w:val="00257B2B"/>
    <w:rsid w:val="00263A86"/>
    <w:rsid w:val="00273F77"/>
    <w:rsid w:val="00274298"/>
    <w:rsid w:val="00284D32"/>
    <w:rsid w:val="002B6A3E"/>
    <w:rsid w:val="002C3E4E"/>
    <w:rsid w:val="002F328E"/>
    <w:rsid w:val="0030380C"/>
    <w:rsid w:val="0031168B"/>
    <w:rsid w:val="00321702"/>
    <w:rsid w:val="0033401C"/>
    <w:rsid w:val="003446BB"/>
    <w:rsid w:val="003455D9"/>
    <w:rsid w:val="003478DF"/>
    <w:rsid w:val="003528B7"/>
    <w:rsid w:val="003578EF"/>
    <w:rsid w:val="00365327"/>
    <w:rsid w:val="003727EC"/>
    <w:rsid w:val="00382E18"/>
    <w:rsid w:val="00387C30"/>
    <w:rsid w:val="0039017F"/>
    <w:rsid w:val="0039381B"/>
    <w:rsid w:val="003B7FBD"/>
    <w:rsid w:val="003D1CC8"/>
    <w:rsid w:val="003D603B"/>
    <w:rsid w:val="003E0053"/>
    <w:rsid w:val="003E4249"/>
    <w:rsid w:val="003F1200"/>
    <w:rsid w:val="00400BA9"/>
    <w:rsid w:val="004300B1"/>
    <w:rsid w:val="004323C1"/>
    <w:rsid w:val="00436DFC"/>
    <w:rsid w:val="004556D2"/>
    <w:rsid w:val="0046772D"/>
    <w:rsid w:val="00486686"/>
    <w:rsid w:val="00491C60"/>
    <w:rsid w:val="004D26A6"/>
    <w:rsid w:val="00502F6D"/>
    <w:rsid w:val="00511DC0"/>
    <w:rsid w:val="005440D2"/>
    <w:rsid w:val="005526DD"/>
    <w:rsid w:val="00570C42"/>
    <w:rsid w:val="005B1E1D"/>
    <w:rsid w:val="005D62DD"/>
    <w:rsid w:val="00602D01"/>
    <w:rsid w:val="00624695"/>
    <w:rsid w:val="00642CC9"/>
    <w:rsid w:val="00655B2F"/>
    <w:rsid w:val="006623A7"/>
    <w:rsid w:val="00663ACE"/>
    <w:rsid w:val="006645FE"/>
    <w:rsid w:val="00674803"/>
    <w:rsid w:val="00676F2A"/>
    <w:rsid w:val="006A0D48"/>
    <w:rsid w:val="006B2980"/>
    <w:rsid w:val="006B3599"/>
    <w:rsid w:val="006D4C0D"/>
    <w:rsid w:val="006D682D"/>
    <w:rsid w:val="006E4F17"/>
    <w:rsid w:val="007179FC"/>
    <w:rsid w:val="00733253"/>
    <w:rsid w:val="00740C14"/>
    <w:rsid w:val="00752E70"/>
    <w:rsid w:val="00757F46"/>
    <w:rsid w:val="007873C8"/>
    <w:rsid w:val="00801011"/>
    <w:rsid w:val="00806250"/>
    <w:rsid w:val="00825740"/>
    <w:rsid w:val="00842C68"/>
    <w:rsid w:val="008447C3"/>
    <w:rsid w:val="008504FB"/>
    <w:rsid w:val="0085109A"/>
    <w:rsid w:val="00857EB5"/>
    <w:rsid w:val="008669A8"/>
    <w:rsid w:val="008740A4"/>
    <w:rsid w:val="008823B6"/>
    <w:rsid w:val="008D1E52"/>
    <w:rsid w:val="008D1EDE"/>
    <w:rsid w:val="008F556C"/>
    <w:rsid w:val="00912D66"/>
    <w:rsid w:val="00935828"/>
    <w:rsid w:val="009436C5"/>
    <w:rsid w:val="0094385F"/>
    <w:rsid w:val="00954599"/>
    <w:rsid w:val="009663DF"/>
    <w:rsid w:val="009A506F"/>
    <w:rsid w:val="009C6F1B"/>
    <w:rsid w:val="009E20D5"/>
    <w:rsid w:val="009F0AB0"/>
    <w:rsid w:val="00A00A95"/>
    <w:rsid w:val="00A02333"/>
    <w:rsid w:val="00A23EAA"/>
    <w:rsid w:val="00A37CBF"/>
    <w:rsid w:val="00A41345"/>
    <w:rsid w:val="00A61E47"/>
    <w:rsid w:val="00A67857"/>
    <w:rsid w:val="00A733C3"/>
    <w:rsid w:val="00A808C1"/>
    <w:rsid w:val="00A83543"/>
    <w:rsid w:val="00A845AA"/>
    <w:rsid w:val="00A95A39"/>
    <w:rsid w:val="00AB1323"/>
    <w:rsid w:val="00AC2C56"/>
    <w:rsid w:val="00AC6AC5"/>
    <w:rsid w:val="00AD0456"/>
    <w:rsid w:val="00AD5C5C"/>
    <w:rsid w:val="00AD7C91"/>
    <w:rsid w:val="00AE1F98"/>
    <w:rsid w:val="00AE50BA"/>
    <w:rsid w:val="00AE727C"/>
    <w:rsid w:val="00AF0D75"/>
    <w:rsid w:val="00B04441"/>
    <w:rsid w:val="00B07EE8"/>
    <w:rsid w:val="00B22557"/>
    <w:rsid w:val="00B45A5C"/>
    <w:rsid w:val="00B650E1"/>
    <w:rsid w:val="00B74541"/>
    <w:rsid w:val="00B82F39"/>
    <w:rsid w:val="00B837BF"/>
    <w:rsid w:val="00B86938"/>
    <w:rsid w:val="00B86A2D"/>
    <w:rsid w:val="00B93065"/>
    <w:rsid w:val="00B95A8A"/>
    <w:rsid w:val="00BB595D"/>
    <w:rsid w:val="00BC7D05"/>
    <w:rsid w:val="00BD0DDB"/>
    <w:rsid w:val="00BD50D7"/>
    <w:rsid w:val="00BD6824"/>
    <w:rsid w:val="00BE527D"/>
    <w:rsid w:val="00BF2E32"/>
    <w:rsid w:val="00BF3315"/>
    <w:rsid w:val="00C02324"/>
    <w:rsid w:val="00C04489"/>
    <w:rsid w:val="00C1637F"/>
    <w:rsid w:val="00C20E58"/>
    <w:rsid w:val="00C35540"/>
    <w:rsid w:val="00C366FA"/>
    <w:rsid w:val="00C611CF"/>
    <w:rsid w:val="00C70AF9"/>
    <w:rsid w:val="00C71620"/>
    <w:rsid w:val="00C83D2D"/>
    <w:rsid w:val="00C86627"/>
    <w:rsid w:val="00C87552"/>
    <w:rsid w:val="00CA2A9A"/>
    <w:rsid w:val="00CB7F88"/>
    <w:rsid w:val="00CC1D2A"/>
    <w:rsid w:val="00CD16F4"/>
    <w:rsid w:val="00CD2027"/>
    <w:rsid w:val="00CD6280"/>
    <w:rsid w:val="00D04EA2"/>
    <w:rsid w:val="00D05E86"/>
    <w:rsid w:val="00D25082"/>
    <w:rsid w:val="00D34526"/>
    <w:rsid w:val="00D46E03"/>
    <w:rsid w:val="00D64948"/>
    <w:rsid w:val="00D726F6"/>
    <w:rsid w:val="00D8324D"/>
    <w:rsid w:val="00D84EEC"/>
    <w:rsid w:val="00D85F3D"/>
    <w:rsid w:val="00D8693C"/>
    <w:rsid w:val="00D9030B"/>
    <w:rsid w:val="00DA4987"/>
    <w:rsid w:val="00DC00BD"/>
    <w:rsid w:val="00DD043C"/>
    <w:rsid w:val="00DD6AEE"/>
    <w:rsid w:val="00DF46D2"/>
    <w:rsid w:val="00E03108"/>
    <w:rsid w:val="00E1405E"/>
    <w:rsid w:val="00E1673E"/>
    <w:rsid w:val="00E22A4D"/>
    <w:rsid w:val="00E2643C"/>
    <w:rsid w:val="00E3627E"/>
    <w:rsid w:val="00E50E3A"/>
    <w:rsid w:val="00E57F0B"/>
    <w:rsid w:val="00E73E5D"/>
    <w:rsid w:val="00EA7D87"/>
    <w:rsid w:val="00EB2D2F"/>
    <w:rsid w:val="00EB51FD"/>
    <w:rsid w:val="00EC7DD4"/>
    <w:rsid w:val="00ED0F42"/>
    <w:rsid w:val="00ED364D"/>
    <w:rsid w:val="00F2767E"/>
    <w:rsid w:val="00F51DF7"/>
    <w:rsid w:val="00F523E7"/>
    <w:rsid w:val="00F60B2B"/>
    <w:rsid w:val="00F62144"/>
    <w:rsid w:val="00F7032C"/>
    <w:rsid w:val="00F878C1"/>
    <w:rsid w:val="00FA2372"/>
    <w:rsid w:val="00FC646C"/>
    <w:rsid w:val="00FD1269"/>
    <w:rsid w:val="00FE492E"/>
    <w:rsid w:val="00FE5097"/>
    <w:rsid w:val="00FF0D24"/>
    <w:rsid w:val="00FF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922C2"/>
  <w15:chartTrackingRefBased/>
  <w15:docId w15:val="{131C4A3E-1934-4FE3-89E8-AFF8AF13B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5A39"/>
  </w:style>
  <w:style w:type="paragraph" w:styleId="Heading1">
    <w:name w:val="heading 1"/>
    <w:basedOn w:val="Normal"/>
    <w:next w:val="Normal"/>
    <w:link w:val="Heading1Char"/>
    <w:uiPriority w:val="9"/>
    <w:qFormat/>
    <w:rsid w:val="00B95A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A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A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A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A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A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A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A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A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A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A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A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A8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A8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A8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A8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A8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A8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A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A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A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A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A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A8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A8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A8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A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A8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A8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69A8"/>
  </w:style>
  <w:style w:type="paragraph" w:styleId="Footer">
    <w:name w:val="footer"/>
    <w:basedOn w:val="Normal"/>
    <w:link w:val="FooterChar"/>
    <w:uiPriority w:val="99"/>
    <w:unhideWhenUsed/>
    <w:rsid w:val="008669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69A8"/>
  </w:style>
  <w:style w:type="paragraph" w:styleId="BodyText3">
    <w:name w:val="Body Text 3"/>
    <w:basedOn w:val="Normal"/>
    <w:link w:val="BodyText3Char"/>
    <w:rsid w:val="00801011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character" w:customStyle="1" w:styleId="BodyText3Char">
    <w:name w:val="Body Text 3 Char"/>
    <w:basedOn w:val="DefaultParagraphFont"/>
    <w:link w:val="BodyText3"/>
    <w:rsid w:val="00801011"/>
    <w:rPr>
      <w:rFonts w:ascii="Times New Roman" w:eastAsia="Times New Roman" w:hAnsi="Times New Roman" w:cs="Times New Roman"/>
      <w:kern w:val="0"/>
      <w:sz w:val="16"/>
      <w:szCs w:val="16"/>
      <w:lang w:val="en-GB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BD50D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D50D7"/>
  </w:style>
  <w:style w:type="table" w:styleId="TableGrid">
    <w:name w:val="Table Grid"/>
    <w:basedOn w:val="TableNormal"/>
    <w:uiPriority w:val="59"/>
    <w:rsid w:val="00BD50D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8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307B4-73E0-458F-A631-BFA9CD9A3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Elek</dc:creator>
  <cp:keywords/>
  <dc:description/>
  <cp:lastModifiedBy>Nicoleta Bodo</cp:lastModifiedBy>
  <cp:revision>19</cp:revision>
  <cp:lastPrinted>2025-05-23T08:37:00Z</cp:lastPrinted>
  <dcterms:created xsi:type="dcterms:W3CDTF">2024-09-19T08:04:00Z</dcterms:created>
  <dcterms:modified xsi:type="dcterms:W3CDTF">2025-06-20T07:21:00Z</dcterms:modified>
</cp:coreProperties>
</file>