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878DF" w14:textId="7FC1D20F" w:rsidR="001A3F8B" w:rsidRPr="00BA60A2" w:rsidRDefault="001A3F8B" w:rsidP="00EE0A39">
      <w:pPr>
        <w:spacing w:after="0" w:line="240" w:lineRule="auto"/>
        <w:jc w:val="both"/>
        <w:rPr>
          <w:rFonts w:ascii="Times New Roman" w:hAnsi="Times New Roman" w:cs="Times New Roman"/>
          <w:color w:val="000000" w:themeColor="text1"/>
          <w:sz w:val="24"/>
          <w:szCs w:val="24"/>
        </w:rPr>
      </w:pPr>
    </w:p>
    <w:p w14:paraId="49A47B7D" w14:textId="462255EF" w:rsidR="001A3F8B" w:rsidRPr="00BA60A2" w:rsidRDefault="001A3F8B" w:rsidP="00EE0A39">
      <w:pPr>
        <w:spacing w:after="0" w:line="240" w:lineRule="auto"/>
        <w:jc w:val="both"/>
        <w:rPr>
          <w:rFonts w:ascii="Times New Roman" w:hAnsi="Times New Roman" w:cs="Times New Roman"/>
          <w:color w:val="000000" w:themeColor="text1"/>
          <w:sz w:val="24"/>
          <w:szCs w:val="24"/>
        </w:rPr>
      </w:pPr>
    </w:p>
    <w:p w14:paraId="51743841" w14:textId="77777777" w:rsidR="001A3F8B" w:rsidRPr="00BA60A2" w:rsidRDefault="001A3F8B" w:rsidP="001A3F8B">
      <w:pPr>
        <w:spacing w:after="0" w:line="240" w:lineRule="auto"/>
        <w:jc w:val="both"/>
        <w:rPr>
          <w:rFonts w:ascii="Times New Roman" w:eastAsia="Calibri" w:hAnsi="Times New Roman" w:cs="Times New Roman"/>
          <w:color w:val="000000" w:themeColor="text1"/>
          <w:sz w:val="24"/>
          <w:szCs w:val="24"/>
        </w:rPr>
      </w:pPr>
      <w:r w:rsidRPr="00BA60A2">
        <w:rPr>
          <w:rFonts w:ascii="Times New Roman" w:eastAsia="Calibri" w:hAnsi="Times New Roman" w:cs="Times New Roman"/>
          <w:b/>
          <w:color w:val="000000" w:themeColor="text1"/>
          <w:sz w:val="24"/>
          <w:szCs w:val="24"/>
        </w:rPr>
        <w:t>ROMÂNIA</w:t>
      </w:r>
    </w:p>
    <w:p w14:paraId="729EE556" w14:textId="77777777" w:rsidR="001A3F8B" w:rsidRPr="00BA60A2" w:rsidRDefault="001A3F8B" w:rsidP="001A3F8B">
      <w:pPr>
        <w:spacing w:after="0" w:line="240" w:lineRule="auto"/>
        <w:jc w:val="both"/>
        <w:rPr>
          <w:rFonts w:ascii="Times New Roman" w:eastAsia="Calibri" w:hAnsi="Times New Roman" w:cs="Times New Roman"/>
          <w:b/>
          <w:color w:val="000000" w:themeColor="text1"/>
          <w:sz w:val="24"/>
          <w:szCs w:val="24"/>
        </w:rPr>
      </w:pPr>
      <w:r w:rsidRPr="00BA60A2">
        <w:rPr>
          <w:rFonts w:ascii="Times New Roman" w:eastAsia="Calibri" w:hAnsi="Times New Roman" w:cs="Times New Roman"/>
          <w:b/>
          <w:color w:val="000000" w:themeColor="text1"/>
          <w:sz w:val="24"/>
          <w:szCs w:val="24"/>
        </w:rPr>
        <w:t>JUDEŢUL SATU MARE</w:t>
      </w:r>
    </w:p>
    <w:p w14:paraId="54D0F845" w14:textId="77777777" w:rsidR="001A3F8B" w:rsidRPr="00BA60A2" w:rsidRDefault="001A3F8B" w:rsidP="001A3F8B">
      <w:pPr>
        <w:spacing w:after="0" w:line="240" w:lineRule="auto"/>
        <w:jc w:val="both"/>
        <w:rPr>
          <w:rFonts w:ascii="Times New Roman" w:eastAsia="Calibri" w:hAnsi="Times New Roman" w:cs="Times New Roman"/>
          <w:b/>
          <w:bCs/>
          <w:color w:val="000000" w:themeColor="text1"/>
          <w:sz w:val="24"/>
          <w:szCs w:val="24"/>
        </w:rPr>
      </w:pPr>
      <w:r w:rsidRPr="00BA60A2">
        <w:rPr>
          <w:rFonts w:ascii="Times New Roman" w:eastAsia="Calibri" w:hAnsi="Times New Roman" w:cs="Times New Roman"/>
          <w:b/>
          <w:bCs/>
          <w:color w:val="000000" w:themeColor="text1"/>
          <w:sz w:val="24"/>
          <w:szCs w:val="24"/>
        </w:rPr>
        <w:t xml:space="preserve">CONSILIUL JUDEŢEAN </w:t>
      </w:r>
    </w:p>
    <w:p w14:paraId="4DBB1D5D" w14:textId="77777777" w:rsidR="001A3F8B" w:rsidRPr="00BA60A2" w:rsidRDefault="001A3F8B" w:rsidP="001A3F8B">
      <w:pPr>
        <w:spacing w:after="0" w:line="240" w:lineRule="auto"/>
        <w:jc w:val="both"/>
        <w:rPr>
          <w:rFonts w:ascii="Times New Roman" w:eastAsia="Calibri" w:hAnsi="Times New Roman" w:cs="Times New Roman"/>
          <w:b/>
          <w:color w:val="000000" w:themeColor="text1"/>
          <w:sz w:val="24"/>
          <w:szCs w:val="24"/>
        </w:rPr>
      </w:pPr>
      <w:r w:rsidRPr="00BA60A2">
        <w:rPr>
          <w:rFonts w:ascii="Times New Roman" w:eastAsia="Calibri" w:hAnsi="Times New Roman" w:cs="Times New Roman"/>
          <w:b/>
          <w:color w:val="000000" w:themeColor="text1"/>
          <w:sz w:val="24"/>
          <w:szCs w:val="24"/>
        </w:rPr>
        <w:t>Nr.___________________</w:t>
      </w:r>
    </w:p>
    <w:p w14:paraId="1E624FA1" w14:textId="77777777" w:rsidR="001A3F8B" w:rsidRPr="00BA60A2" w:rsidRDefault="001A3F8B" w:rsidP="001A3F8B">
      <w:pPr>
        <w:spacing w:after="0" w:line="240" w:lineRule="auto"/>
        <w:ind w:right="26"/>
        <w:contextualSpacing/>
        <w:jc w:val="center"/>
        <w:rPr>
          <w:rFonts w:ascii="Times New Roman" w:eastAsia="Calibri" w:hAnsi="Times New Roman" w:cs="Times New Roman"/>
          <w:b/>
          <w:color w:val="000000" w:themeColor="text1"/>
          <w:sz w:val="24"/>
          <w:szCs w:val="24"/>
        </w:rPr>
      </w:pPr>
    </w:p>
    <w:p w14:paraId="3C959AF8" w14:textId="48412D3C" w:rsidR="001A3F8B" w:rsidRPr="00BA60A2" w:rsidRDefault="00AC1D96" w:rsidP="001A3F8B">
      <w:pPr>
        <w:spacing w:after="0" w:line="240" w:lineRule="auto"/>
        <w:ind w:right="26"/>
        <w:contextualSpacing/>
        <w:jc w:val="center"/>
        <w:rPr>
          <w:rFonts w:ascii="Times New Roman" w:eastAsia="Calibri" w:hAnsi="Times New Roman" w:cs="Times New Roman"/>
          <w:b/>
          <w:color w:val="000000" w:themeColor="text1"/>
          <w:sz w:val="24"/>
          <w:szCs w:val="24"/>
        </w:rPr>
      </w:pPr>
      <w:r w:rsidRPr="00BA60A2">
        <w:rPr>
          <w:rFonts w:ascii="Times New Roman" w:eastAsia="Calibri" w:hAnsi="Times New Roman" w:cs="Times New Roman"/>
          <w:b/>
          <w:color w:val="000000" w:themeColor="text1"/>
          <w:sz w:val="24"/>
          <w:szCs w:val="24"/>
        </w:rPr>
        <w:t>RAPORT DE SPECIALITATE</w:t>
      </w:r>
    </w:p>
    <w:p w14:paraId="07713AE8" w14:textId="77777777" w:rsidR="00AC1D96" w:rsidRPr="00BA60A2" w:rsidRDefault="00AC1D96" w:rsidP="001A3F8B">
      <w:pPr>
        <w:spacing w:after="0" w:line="240" w:lineRule="auto"/>
        <w:ind w:right="26"/>
        <w:contextualSpacing/>
        <w:jc w:val="center"/>
        <w:rPr>
          <w:rFonts w:ascii="Times New Roman" w:eastAsia="Calibri" w:hAnsi="Times New Roman" w:cs="Times New Roman"/>
          <w:b/>
          <w:color w:val="000000" w:themeColor="text1"/>
          <w:sz w:val="24"/>
          <w:szCs w:val="24"/>
        </w:rPr>
      </w:pPr>
    </w:p>
    <w:p w14:paraId="2E477E67" w14:textId="4BD06A25" w:rsidR="001A3F8B" w:rsidRPr="00BA60A2" w:rsidRDefault="001A3F8B" w:rsidP="005D5D50">
      <w:pPr>
        <w:jc w:val="center"/>
        <w:rPr>
          <w:rFonts w:ascii="Times New Roman" w:hAnsi="Times New Roman" w:cs="Times New Roman"/>
          <w:b/>
          <w:bCs/>
          <w:sz w:val="24"/>
          <w:szCs w:val="24"/>
        </w:rPr>
      </w:pPr>
      <w:r w:rsidRPr="00BA60A2">
        <w:rPr>
          <w:rFonts w:ascii="Times New Roman" w:hAnsi="Times New Roman" w:cs="Times New Roman"/>
          <w:b/>
          <w:bCs/>
          <w:sz w:val="24"/>
          <w:szCs w:val="24"/>
        </w:rPr>
        <w:t xml:space="preserve">privind </w:t>
      </w:r>
      <w:r w:rsidRPr="005C777F">
        <w:rPr>
          <w:rFonts w:ascii="Times New Roman" w:hAnsi="Times New Roman" w:cs="Times New Roman"/>
          <w:b/>
          <w:bCs/>
          <w:sz w:val="24"/>
          <w:szCs w:val="24"/>
        </w:rPr>
        <w:t xml:space="preserve">aprobarea </w:t>
      </w:r>
      <w:r w:rsidR="00C46108" w:rsidRPr="005C777F">
        <w:rPr>
          <w:rFonts w:ascii="Times New Roman" w:hAnsi="Times New Roman" w:cs="Times New Roman"/>
          <w:b/>
          <w:bCs/>
          <w:sz w:val="24"/>
          <w:szCs w:val="24"/>
        </w:rPr>
        <w:t>modificării strategiei de tarifare prin Planul anual de evoluție a tarifelor,</w:t>
      </w:r>
      <w:r w:rsidRPr="005C777F">
        <w:rPr>
          <w:rFonts w:ascii="Times New Roman" w:hAnsi="Times New Roman" w:cs="Times New Roman"/>
          <w:b/>
          <w:bCs/>
          <w:sz w:val="24"/>
          <w:szCs w:val="24"/>
        </w:rPr>
        <w:t xml:space="preserve"> conform rezultatelor Analizei Cost-Beneficiu pentru “Proiectul regional de dezvoltare a infrastructurii </w:t>
      </w:r>
      <w:r w:rsidRPr="00BA60A2">
        <w:rPr>
          <w:rFonts w:ascii="Times New Roman" w:hAnsi="Times New Roman" w:cs="Times New Roman"/>
          <w:b/>
          <w:bCs/>
          <w:sz w:val="24"/>
          <w:szCs w:val="24"/>
        </w:rPr>
        <w:t>de apă și apă uzată din județul Satu Mare/Regiunea Nord-Vest, în perioada 2014-2020”, cod SMIS 123241 și aprobarea Actelor adiționale 13 și 14 la Contractul de delegare al gestiunii serviciilor publice de alimentare cu apă şi de canalizare nr.12.313/19.11.2009</w:t>
      </w:r>
    </w:p>
    <w:p w14:paraId="3AE7BEE0" w14:textId="67927290" w:rsidR="00AC1D96" w:rsidRPr="00BA60A2" w:rsidRDefault="00AC1D96" w:rsidP="00EE0A39">
      <w:pPr>
        <w:spacing w:after="0" w:line="240" w:lineRule="auto"/>
        <w:jc w:val="both"/>
        <w:rPr>
          <w:rFonts w:ascii="Times New Roman" w:hAnsi="Times New Roman" w:cs="Times New Roman"/>
          <w:color w:val="000000" w:themeColor="text1"/>
          <w:sz w:val="24"/>
          <w:szCs w:val="24"/>
        </w:rPr>
      </w:pPr>
    </w:p>
    <w:p w14:paraId="7841DA52" w14:textId="11617E18" w:rsidR="00AC1D96" w:rsidRPr="00BA60A2" w:rsidRDefault="00AC1D96" w:rsidP="00EE0A39">
      <w:pPr>
        <w:spacing w:after="0" w:line="240" w:lineRule="auto"/>
        <w:jc w:val="both"/>
        <w:rPr>
          <w:rFonts w:ascii="Times New Roman" w:hAnsi="Times New Roman" w:cs="Times New Roman"/>
          <w:color w:val="000000" w:themeColor="text1"/>
          <w:sz w:val="24"/>
          <w:szCs w:val="24"/>
        </w:rPr>
      </w:pPr>
    </w:p>
    <w:p w14:paraId="02193EF3" w14:textId="77777777" w:rsidR="003A38DE" w:rsidRPr="00BA60A2" w:rsidRDefault="003A38DE" w:rsidP="005D5D50">
      <w:pPr>
        <w:pStyle w:val="Header"/>
        <w:tabs>
          <w:tab w:val="clear" w:pos="4536"/>
          <w:tab w:val="clear" w:pos="9072"/>
        </w:tabs>
        <w:ind w:firstLine="706"/>
        <w:jc w:val="both"/>
        <w:rPr>
          <w:rFonts w:ascii="Times New Roman" w:hAnsi="Times New Roman" w:cs="Times New Roman"/>
          <w:color w:val="000000" w:themeColor="text1"/>
          <w:sz w:val="24"/>
          <w:szCs w:val="24"/>
        </w:rPr>
      </w:pPr>
      <w:r w:rsidRPr="00BA60A2">
        <w:rPr>
          <w:rFonts w:ascii="Times New Roman" w:hAnsi="Times New Roman" w:cs="Times New Roman"/>
          <w:color w:val="000000" w:themeColor="text1"/>
          <w:sz w:val="24"/>
          <w:szCs w:val="24"/>
        </w:rPr>
        <w:t>Pentru perioada de programare 2014-2020, Asociația de Dezvoltare Intercomunitară pentru Servicii în sectorul de apă și apă uzată din județul Satu Mare în care Consiliul Județean Satu Mare este membru asociat, împreună cu Operatorul Regional Apaserv Satu Mare SA, în baza Master Planului Județean revizuit, aprobat prin HCJ Nr.29/2018, a depus cerere de finanțare pentru. lucrările din lista prioritară aferentă Master Planului aprobat pentru. obținerea de fonduri europene prin POIM 2014-2020.</w:t>
      </w:r>
    </w:p>
    <w:p w14:paraId="1D90B31E" w14:textId="77777777" w:rsidR="003A38DE" w:rsidRPr="00BA60A2" w:rsidRDefault="003A38DE" w:rsidP="003A38DE">
      <w:pPr>
        <w:spacing w:after="0" w:line="240" w:lineRule="auto"/>
        <w:jc w:val="both"/>
        <w:rPr>
          <w:rFonts w:ascii="Times New Roman" w:hAnsi="Times New Roman" w:cs="Times New Roman"/>
          <w:b/>
          <w:i/>
          <w:color w:val="000000" w:themeColor="text1"/>
          <w:sz w:val="24"/>
          <w:szCs w:val="24"/>
        </w:rPr>
      </w:pPr>
      <w:r w:rsidRPr="00BA60A2">
        <w:rPr>
          <w:rFonts w:ascii="Times New Roman" w:hAnsi="Times New Roman" w:cs="Times New Roman"/>
          <w:color w:val="000000" w:themeColor="text1"/>
          <w:sz w:val="24"/>
          <w:szCs w:val="24"/>
        </w:rPr>
        <w:tab/>
        <w:t>În acest context a fost elaborat „</w:t>
      </w:r>
      <w:r w:rsidRPr="00BA60A2">
        <w:rPr>
          <w:rFonts w:ascii="Times New Roman" w:hAnsi="Times New Roman" w:cs="Times New Roman"/>
          <w:i/>
          <w:iCs/>
          <w:color w:val="000000" w:themeColor="text1"/>
          <w:sz w:val="24"/>
          <w:szCs w:val="24"/>
        </w:rPr>
        <w:t xml:space="preserve">Proiectul regional de dezvoltare a infrastructurii de apă și apă uzată din județul Satu Mare/Regiunea Nord-Vest, în perioada 2014-2020”, </w:t>
      </w:r>
      <w:r w:rsidRPr="00BA60A2">
        <w:rPr>
          <w:rFonts w:ascii="Times New Roman" w:hAnsi="Times New Roman" w:cs="Times New Roman"/>
          <w:iCs/>
          <w:color w:val="000000" w:themeColor="text1"/>
          <w:sz w:val="24"/>
          <w:szCs w:val="24"/>
        </w:rPr>
        <w:t>proiect care cuprinde lucrări care după finalizare și recepție vor trece în patrimonial public al județului Satu Mare, conform prevederilor Legii 51 /2006-republicată, Art.10, pct.6, lit. b „</w:t>
      </w:r>
      <w:r w:rsidRPr="00BA60A2">
        <w:rPr>
          <w:rFonts w:ascii="Times New Roman" w:hAnsi="Times New Roman" w:cs="Times New Roman"/>
          <w:i/>
          <w:color w:val="000000" w:themeColor="text1"/>
          <w:sz w:val="24"/>
          <w:szCs w:val="24"/>
        </w:rPr>
        <w:t>bunurile situate pe raza mai multor unități administrativ-teritoriale și/sau care deservesc mai multe unități administrativ-teritoriale aparțin domeniului public al județului, dacă toate unitățile administrativ-teritoriale implicate sunt situate în același județ și județul este membru al asociației;”</w:t>
      </w:r>
    </w:p>
    <w:p w14:paraId="49AC69EE" w14:textId="77777777" w:rsidR="002707D1" w:rsidRPr="00BA60A2" w:rsidRDefault="003A38DE" w:rsidP="002707D1">
      <w:pPr>
        <w:pStyle w:val="NoSpacing"/>
        <w:jc w:val="both"/>
      </w:pPr>
      <w:r w:rsidRPr="00BA60A2">
        <w:tab/>
        <w:t>Județul Satu Mare este parte în acest proiect, sens în care a adoptat Hotărârea Nr. 28/2022 și Hotărârea 29/2022 în vederea  aprobării indicatorilor tehnici și a cofinanțării aferente.</w:t>
      </w:r>
    </w:p>
    <w:p w14:paraId="15AC7F00" w14:textId="7186565F" w:rsidR="003A38DE" w:rsidRPr="00BA60A2" w:rsidRDefault="003A38DE" w:rsidP="002707D1">
      <w:pPr>
        <w:pStyle w:val="NoSpacing"/>
        <w:ind w:firstLine="706"/>
        <w:jc w:val="both"/>
      </w:pPr>
      <w:r w:rsidRPr="00BA60A2">
        <w:t>Mai mult, finanțarea Proiectului a fost aprobată prin Decizia Nr. C(2021) 1741/11.03.2021 a Comisiei Europene și este în plină desfășurare a lucrărilor, având termen de finalizare data de 31.12.2023.</w:t>
      </w:r>
    </w:p>
    <w:p w14:paraId="1590E83D" w14:textId="77777777" w:rsidR="003A38DE" w:rsidRPr="00BA60A2" w:rsidRDefault="003A38DE" w:rsidP="002707D1">
      <w:pPr>
        <w:pStyle w:val="NoSpacing"/>
        <w:jc w:val="both"/>
      </w:pPr>
      <w:r w:rsidRPr="00BA60A2">
        <w:tab/>
        <w:t>După finalizarea și recepția lucrărilor se vor demara procedurile de trecere în patrimoniul public al județului a obiectivelor realizate.</w:t>
      </w:r>
    </w:p>
    <w:p w14:paraId="732A1957" w14:textId="77777777" w:rsidR="003A38DE" w:rsidRPr="00BA60A2" w:rsidRDefault="003A38DE" w:rsidP="003A38DE">
      <w:pPr>
        <w:spacing w:after="0" w:line="240" w:lineRule="auto"/>
        <w:jc w:val="both"/>
        <w:rPr>
          <w:rFonts w:ascii="Times New Roman" w:hAnsi="Times New Roman" w:cs="Times New Roman"/>
          <w:i/>
          <w:color w:val="000000" w:themeColor="text1"/>
          <w:sz w:val="24"/>
          <w:szCs w:val="24"/>
        </w:rPr>
      </w:pPr>
      <w:r w:rsidRPr="00BA60A2">
        <w:rPr>
          <w:rFonts w:ascii="Times New Roman" w:hAnsi="Times New Roman" w:cs="Times New Roman"/>
          <w:color w:val="000000" w:themeColor="text1"/>
          <w:sz w:val="24"/>
          <w:szCs w:val="24"/>
        </w:rPr>
        <w:tab/>
        <w:t xml:space="preserve">Întrucât acordarea finanțării europene nerambursabile </w:t>
      </w:r>
      <w:r w:rsidRPr="00BA60A2">
        <w:rPr>
          <w:rFonts w:ascii="Times New Roman" w:hAnsi="Times New Roman" w:cs="Times New Roman"/>
          <w:b/>
          <w:color w:val="000000" w:themeColor="text1"/>
          <w:sz w:val="24"/>
          <w:szCs w:val="24"/>
        </w:rPr>
        <w:t>este condiționată</w:t>
      </w:r>
      <w:r w:rsidRPr="00BA60A2">
        <w:rPr>
          <w:rFonts w:ascii="Times New Roman" w:hAnsi="Times New Roman" w:cs="Times New Roman"/>
          <w:color w:val="000000" w:themeColor="text1"/>
          <w:sz w:val="24"/>
          <w:szCs w:val="24"/>
        </w:rPr>
        <w:t xml:space="preserve"> de îndeplinirea tuturor cerințelor din ghidul de finanțare privind analiza instituțională, respectiv „Cap.2 Reguli privind acordarea finanțării, pct.a.1.„ </w:t>
      </w:r>
      <w:r w:rsidRPr="00BA60A2">
        <w:rPr>
          <w:rFonts w:ascii="Times New Roman" w:hAnsi="Times New Roman" w:cs="Times New Roman"/>
          <w:b/>
          <w:i/>
          <w:color w:val="000000" w:themeColor="text1"/>
          <w:sz w:val="24"/>
          <w:szCs w:val="24"/>
        </w:rPr>
        <w:t xml:space="preserve">Operatorul Regional acționează în baza Contractului de Delegare a Gestiunii Serviciilor, contract prin care autoritățile locale exercită asupra OR un ”control similar” celui exercitat asupra propriilor departamente; Probează cu Contractul de Delegare a Gestiunii Serviciilor, semnat de către ambele părți (ADI și OR), conform cerințelor din capitolul 3.2.3 Analiza Instituțională.” </w:t>
      </w:r>
    </w:p>
    <w:p w14:paraId="311B0CC0" w14:textId="77777777" w:rsidR="003A38DE" w:rsidRPr="00BA60A2" w:rsidRDefault="003A38DE" w:rsidP="003A38DE">
      <w:pPr>
        <w:pStyle w:val="Header"/>
        <w:tabs>
          <w:tab w:val="clear" w:pos="4536"/>
          <w:tab w:val="clear" w:pos="9072"/>
        </w:tabs>
        <w:jc w:val="both"/>
        <w:rPr>
          <w:rFonts w:ascii="Times New Roman" w:hAnsi="Times New Roman" w:cs="Times New Roman"/>
          <w:color w:val="000000" w:themeColor="text1"/>
          <w:sz w:val="24"/>
          <w:szCs w:val="24"/>
        </w:rPr>
      </w:pPr>
      <w:r w:rsidRPr="00BA60A2">
        <w:rPr>
          <w:rFonts w:ascii="Times New Roman" w:hAnsi="Times New Roman" w:cs="Times New Roman"/>
          <w:color w:val="000000" w:themeColor="text1"/>
          <w:sz w:val="24"/>
          <w:szCs w:val="24"/>
        </w:rPr>
        <w:tab/>
        <w:t xml:space="preserve">Contractul de delegare a gestiunii serviciilor publice de alimentare cu apă și canalizare a fost aprobat și semnat de Asociație prin Hotărârea nr. 5/2009 a Asociației, în baza mandatului primit de la asociați, </w:t>
      </w:r>
      <w:r w:rsidRPr="00BA60A2">
        <w:rPr>
          <w:rFonts w:ascii="Times New Roman" w:hAnsi="Times New Roman" w:cs="Times New Roman"/>
          <w:i/>
          <w:iCs/>
          <w:color w:val="000000" w:themeColor="text1"/>
          <w:sz w:val="24"/>
          <w:szCs w:val="24"/>
        </w:rPr>
        <w:t>mai puțin de la Consiliul Județean Satu Mare</w:t>
      </w:r>
      <w:r w:rsidRPr="00BA60A2">
        <w:rPr>
          <w:rFonts w:ascii="Times New Roman" w:hAnsi="Times New Roman" w:cs="Times New Roman"/>
          <w:color w:val="000000" w:themeColor="text1"/>
          <w:sz w:val="24"/>
          <w:szCs w:val="24"/>
        </w:rPr>
        <w:t xml:space="preserve">, care la acea dată nu avea în proprietate publică sisteme de alimentare cu apă și canalizare și nici nu erau prevăzute în Master Planul aprobat atunci lucrări propuse a fi finanțate cu fonduri UE prin POS Mediu 2007-2014. </w:t>
      </w:r>
    </w:p>
    <w:p w14:paraId="39D832CE" w14:textId="25EF3B7B" w:rsidR="00302DDA" w:rsidRPr="007454AA" w:rsidRDefault="00D72E5B" w:rsidP="009A0273">
      <w:pPr>
        <w:spacing w:after="70" w:line="248" w:lineRule="auto"/>
        <w:ind w:left="24" w:firstLine="682"/>
        <w:jc w:val="both"/>
        <w:rPr>
          <w:rFonts w:ascii="Times New Roman" w:eastAsia="Times New Roman" w:hAnsi="Times New Roman" w:cs="Times New Roman"/>
          <w:sz w:val="24"/>
          <w:szCs w:val="24"/>
        </w:rPr>
      </w:pPr>
      <w:r w:rsidRPr="007454AA">
        <w:rPr>
          <w:rFonts w:ascii="Times New Roman" w:eastAsia="Times New Roman" w:hAnsi="Times New Roman" w:cs="Times New Roman"/>
          <w:sz w:val="24"/>
          <w:szCs w:val="24"/>
        </w:rPr>
        <w:t xml:space="preserve">Prin Actul adițional nr. 13 se propune modificarea Articolului 39 </w:t>
      </w:r>
      <w:r w:rsidR="005C777F" w:rsidRPr="007454AA">
        <w:rPr>
          <w:rFonts w:ascii="Times New Roman" w:eastAsia="Times New Roman" w:hAnsi="Times New Roman" w:cs="Times New Roman"/>
          <w:sz w:val="24"/>
          <w:szCs w:val="24"/>
        </w:rPr>
        <w:t>-</w:t>
      </w:r>
      <w:r w:rsidRPr="007454AA">
        <w:rPr>
          <w:rFonts w:ascii="Times New Roman" w:eastAsia="Times New Roman" w:hAnsi="Times New Roman" w:cs="Times New Roman"/>
          <w:sz w:val="24"/>
          <w:szCs w:val="24"/>
        </w:rPr>
        <w:t xml:space="preserve"> Alte costuri, taxe și suprataxe, </w:t>
      </w:r>
      <w:r w:rsidRPr="007454AA">
        <w:rPr>
          <w:rFonts w:ascii="Times New Roman" w:eastAsia="Times New Roman" w:hAnsi="Times New Roman" w:cs="Times New Roman"/>
          <w:noProof/>
          <w:sz w:val="24"/>
          <w:szCs w:val="24"/>
        </w:rPr>
        <w:drawing>
          <wp:inline distT="0" distB="0" distL="0" distR="0" wp14:anchorId="6ABE5325" wp14:editId="2288B20C">
            <wp:extent cx="4569" cy="4568"/>
            <wp:effectExtent l="0" t="0" r="0" b="0"/>
            <wp:docPr id="4956" name="Picture 4956"/>
            <wp:cNvGraphicFramePr/>
            <a:graphic xmlns:a="http://schemas.openxmlformats.org/drawingml/2006/main">
              <a:graphicData uri="http://schemas.openxmlformats.org/drawingml/2006/picture">
                <pic:pic xmlns:pic="http://schemas.openxmlformats.org/drawingml/2006/picture">
                  <pic:nvPicPr>
                    <pic:cNvPr id="4956" name="Picture 4956"/>
                    <pic:cNvPicPr/>
                  </pic:nvPicPr>
                  <pic:blipFill>
                    <a:blip r:embed="rId8"/>
                    <a:stretch>
                      <a:fillRect/>
                    </a:stretch>
                  </pic:blipFill>
                  <pic:spPr>
                    <a:xfrm>
                      <a:off x="0" y="0"/>
                      <a:ext cx="4569" cy="4568"/>
                    </a:xfrm>
                    <a:prstGeom prst="rect">
                      <a:avLst/>
                    </a:prstGeom>
                  </pic:spPr>
                </pic:pic>
              </a:graphicData>
            </a:graphic>
          </wp:inline>
        </w:drawing>
      </w:r>
      <w:r w:rsidRPr="007454AA">
        <w:rPr>
          <w:rFonts w:ascii="Times New Roman" w:eastAsia="Times New Roman" w:hAnsi="Times New Roman" w:cs="Times New Roman"/>
          <w:sz w:val="24"/>
          <w:szCs w:val="24"/>
        </w:rPr>
        <w:t>alin. 2. Redevența, punctul 9) și anume:</w:t>
      </w:r>
      <w:r w:rsidR="009A0273" w:rsidRPr="007454AA">
        <w:rPr>
          <w:rFonts w:ascii="Times New Roman" w:eastAsia="Times New Roman" w:hAnsi="Times New Roman" w:cs="Times New Roman"/>
          <w:sz w:val="24"/>
          <w:szCs w:val="24"/>
        </w:rPr>
        <w:t xml:space="preserve"> </w:t>
      </w:r>
    </w:p>
    <w:p w14:paraId="5C3FB434" w14:textId="4466E125" w:rsidR="00D72E5B" w:rsidRPr="007454AA" w:rsidRDefault="00D72E5B" w:rsidP="009A0273">
      <w:pPr>
        <w:spacing w:after="70" w:line="248" w:lineRule="auto"/>
        <w:ind w:left="24" w:firstLine="682"/>
        <w:jc w:val="both"/>
        <w:rPr>
          <w:rFonts w:ascii="Times New Roman" w:eastAsia="Times New Roman" w:hAnsi="Times New Roman" w:cs="Times New Roman"/>
          <w:sz w:val="24"/>
          <w:szCs w:val="24"/>
        </w:rPr>
      </w:pPr>
      <w:r w:rsidRPr="007454AA">
        <w:rPr>
          <w:rFonts w:ascii="Times New Roman" w:eastAsia="Times New Roman" w:hAnsi="Times New Roman" w:cs="Times New Roman"/>
          <w:sz w:val="24"/>
          <w:szCs w:val="24"/>
        </w:rPr>
        <w:t>” 9) Redevența va fi întotdeauna reflectată în nivelul prețului apei și tarifelor de canalizare și va fi suficientă pentru a asigura acoperirea serviciului datoriei constând în rate de capital, dobânzi, comisioane și alte costuri aferente împrumuturilor contractate, destinate cofinanțării proiectelor care beneficiază de asistență financiară nerambursabilă din partea Uniunii Europene și asigurării fondurilor necesare așa cum sunt prevăzute la pct. 8) și în legislația aplicabilă.</w:t>
      </w:r>
    </w:p>
    <w:p w14:paraId="12F10716" w14:textId="3DFA80DD" w:rsidR="00D72E5B" w:rsidRPr="007454AA" w:rsidRDefault="000315A4" w:rsidP="00D72E5B">
      <w:pPr>
        <w:spacing w:after="23" w:line="248" w:lineRule="auto"/>
        <w:ind w:left="24" w:hanging="3"/>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lastRenderedPageBreak/>
        <w:t xml:space="preserve">               </w:t>
      </w:r>
      <w:r w:rsidR="00D72E5B" w:rsidRPr="007454AA">
        <w:rPr>
          <w:rFonts w:ascii="Times New Roman" w:eastAsia="Times New Roman" w:hAnsi="Times New Roman" w:cs="Times New Roman"/>
          <w:sz w:val="24"/>
          <w:szCs w:val="24"/>
        </w:rPr>
        <w:t>Redevența lunară este:</w:t>
      </w:r>
    </w:p>
    <w:p w14:paraId="43A98273" w14:textId="120B0994" w:rsidR="00D72E5B" w:rsidRPr="007454AA" w:rsidRDefault="00414221" w:rsidP="00D72E5B">
      <w:pPr>
        <w:spacing w:after="0"/>
        <w:ind w:left="7137"/>
        <w:rPr>
          <w:rFonts w:ascii="Times New Roman" w:eastAsia="Times New Roman" w:hAnsi="Times New Roman" w:cs="Times New Roman"/>
        </w:rPr>
      </w:pPr>
      <w:r w:rsidRPr="007454AA">
        <w:rPr>
          <w:rFonts w:ascii="Times New Roman" w:eastAsia="Times New Roman" w:hAnsi="Times New Roman" w:cs="Times New Roman"/>
        </w:rPr>
        <w:t xml:space="preserve">                                                </w:t>
      </w:r>
      <w:r w:rsidR="00D72E5B" w:rsidRPr="007454AA">
        <w:rPr>
          <w:rFonts w:ascii="Times New Roman" w:eastAsia="Times New Roman" w:hAnsi="Times New Roman" w:cs="Times New Roman"/>
        </w:rPr>
        <w:t>- RON -</w:t>
      </w:r>
    </w:p>
    <w:tbl>
      <w:tblPr>
        <w:tblStyle w:val="TableGrid"/>
        <w:tblW w:w="10530" w:type="dxa"/>
        <w:tblInd w:w="87" w:type="dxa"/>
        <w:tblCellMar>
          <w:top w:w="43" w:type="dxa"/>
          <w:left w:w="103" w:type="dxa"/>
          <w:right w:w="94" w:type="dxa"/>
        </w:tblCellMar>
        <w:tblLook w:val="04A0" w:firstRow="1" w:lastRow="0" w:firstColumn="1" w:lastColumn="0" w:noHBand="0" w:noVBand="1"/>
      </w:tblPr>
      <w:tblGrid>
        <w:gridCol w:w="1382"/>
        <w:gridCol w:w="2488"/>
        <w:gridCol w:w="2160"/>
        <w:gridCol w:w="2160"/>
        <w:gridCol w:w="2340"/>
      </w:tblGrid>
      <w:tr w:rsidR="007454AA" w:rsidRPr="007454AA" w14:paraId="4D064A7A" w14:textId="77777777" w:rsidTr="00414221">
        <w:trPr>
          <w:trHeight w:val="938"/>
        </w:trPr>
        <w:tc>
          <w:tcPr>
            <w:tcW w:w="1382" w:type="dxa"/>
            <w:tcBorders>
              <w:top w:val="single" w:sz="2" w:space="0" w:color="000000"/>
              <w:left w:val="single" w:sz="2" w:space="0" w:color="000000"/>
              <w:bottom w:val="single" w:sz="2" w:space="0" w:color="000000"/>
              <w:right w:val="single" w:sz="2" w:space="0" w:color="000000"/>
            </w:tcBorders>
            <w:vAlign w:val="center"/>
          </w:tcPr>
          <w:p w14:paraId="58FE5D1A" w14:textId="77777777" w:rsidR="00D72E5B" w:rsidRPr="007454AA" w:rsidRDefault="00D72E5B" w:rsidP="00BA60A2">
            <w:pPr>
              <w:ind w:left="40"/>
              <w:jc w:val="center"/>
              <w:rPr>
                <w:rFonts w:ascii="Times New Roman" w:hAnsi="Times New Roman" w:cs="Times New Roman"/>
                <w:b/>
                <w:bCs/>
                <w:sz w:val="20"/>
                <w:szCs w:val="20"/>
                <w:lang w:val="ro-RO"/>
              </w:rPr>
            </w:pPr>
            <w:r w:rsidRPr="007454AA">
              <w:rPr>
                <w:rFonts w:ascii="Times New Roman" w:hAnsi="Times New Roman" w:cs="Times New Roman"/>
                <w:b/>
                <w:bCs/>
                <w:sz w:val="20"/>
                <w:szCs w:val="20"/>
                <w:lang w:val="ro-RO"/>
              </w:rPr>
              <w:t>Nr.</w:t>
            </w:r>
          </w:p>
          <w:p w14:paraId="31469ACB" w14:textId="77777777" w:rsidR="00D72E5B" w:rsidRPr="007454AA" w:rsidRDefault="00D72E5B" w:rsidP="00BA60A2">
            <w:pPr>
              <w:ind w:left="19"/>
              <w:jc w:val="center"/>
              <w:rPr>
                <w:rFonts w:ascii="Times New Roman" w:hAnsi="Times New Roman" w:cs="Times New Roman"/>
                <w:b/>
                <w:bCs/>
                <w:sz w:val="20"/>
                <w:szCs w:val="20"/>
                <w:lang w:val="ro-RO"/>
              </w:rPr>
            </w:pPr>
            <w:r w:rsidRPr="007454AA">
              <w:rPr>
                <w:rFonts w:ascii="Times New Roman" w:hAnsi="Times New Roman" w:cs="Times New Roman"/>
                <w:b/>
                <w:bCs/>
                <w:sz w:val="20"/>
                <w:szCs w:val="20"/>
                <w:lang w:val="ro-RO"/>
              </w:rPr>
              <w:t>crt.</w:t>
            </w:r>
          </w:p>
        </w:tc>
        <w:tc>
          <w:tcPr>
            <w:tcW w:w="2488" w:type="dxa"/>
            <w:tcBorders>
              <w:top w:val="single" w:sz="2" w:space="0" w:color="000000"/>
              <w:left w:val="single" w:sz="2" w:space="0" w:color="000000"/>
              <w:bottom w:val="single" w:sz="2" w:space="0" w:color="000000"/>
              <w:right w:val="single" w:sz="2" w:space="0" w:color="000000"/>
            </w:tcBorders>
            <w:vAlign w:val="center"/>
          </w:tcPr>
          <w:p w14:paraId="7CAD2A3F" w14:textId="77777777" w:rsidR="00D72E5B" w:rsidRPr="007454AA" w:rsidRDefault="00D72E5B" w:rsidP="00BA60A2">
            <w:pPr>
              <w:ind w:right="33"/>
              <w:jc w:val="center"/>
              <w:rPr>
                <w:rFonts w:ascii="Times New Roman" w:hAnsi="Times New Roman" w:cs="Times New Roman"/>
                <w:b/>
                <w:bCs/>
                <w:sz w:val="20"/>
                <w:szCs w:val="20"/>
                <w:lang w:val="ro-RO"/>
              </w:rPr>
            </w:pPr>
            <w:r w:rsidRPr="007454AA">
              <w:rPr>
                <w:rFonts w:ascii="Times New Roman" w:hAnsi="Times New Roman" w:cs="Times New Roman"/>
                <w:b/>
                <w:bCs/>
                <w:sz w:val="20"/>
                <w:szCs w:val="20"/>
                <w:lang w:val="ro-RO"/>
              </w:rPr>
              <w:t>U.A.T.</w:t>
            </w:r>
          </w:p>
        </w:tc>
        <w:tc>
          <w:tcPr>
            <w:tcW w:w="2160" w:type="dxa"/>
            <w:tcBorders>
              <w:top w:val="single" w:sz="2" w:space="0" w:color="000000"/>
              <w:left w:val="single" w:sz="2" w:space="0" w:color="000000"/>
              <w:bottom w:val="single" w:sz="2" w:space="0" w:color="000000"/>
              <w:right w:val="single" w:sz="2" w:space="0" w:color="000000"/>
            </w:tcBorders>
            <w:vAlign w:val="center"/>
          </w:tcPr>
          <w:p w14:paraId="1A3A9E30" w14:textId="77777777" w:rsidR="00D72E5B" w:rsidRPr="007454AA" w:rsidRDefault="00D72E5B" w:rsidP="00BA60A2">
            <w:pPr>
              <w:jc w:val="center"/>
              <w:rPr>
                <w:rFonts w:ascii="Times New Roman" w:hAnsi="Times New Roman" w:cs="Times New Roman"/>
                <w:b/>
                <w:bCs/>
                <w:sz w:val="20"/>
                <w:szCs w:val="20"/>
                <w:lang w:val="ro-RO"/>
              </w:rPr>
            </w:pPr>
            <w:r w:rsidRPr="007454AA">
              <w:rPr>
                <w:rFonts w:ascii="Times New Roman" w:hAnsi="Times New Roman" w:cs="Times New Roman"/>
                <w:b/>
                <w:bCs/>
                <w:sz w:val="20"/>
                <w:szCs w:val="20"/>
                <w:lang w:val="ro-RO"/>
              </w:rPr>
              <w:t>Redevență lunară apă</w:t>
            </w:r>
          </w:p>
        </w:tc>
        <w:tc>
          <w:tcPr>
            <w:tcW w:w="2160" w:type="dxa"/>
            <w:tcBorders>
              <w:top w:val="single" w:sz="2" w:space="0" w:color="000000"/>
              <w:left w:val="single" w:sz="2" w:space="0" w:color="000000"/>
              <w:bottom w:val="single" w:sz="2" w:space="0" w:color="000000"/>
              <w:right w:val="single" w:sz="2" w:space="0" w:color="000000"/>
            </w:tcBorders>
            <w:vAlign w:val="center"/>
          </w:tcPr>
          <w:p w14:paraId="55D34F1C" w14:textId="77777777" w:rsidR="00D72E5B" w:rsidRPr="007454AA" w:rsidRDefault="00D72E5B" w:rsidP="00BA60A2">
            <w:pPr>
              <w:ind w:left="112" w:firstLine="79"/>
              <w:jc w:val="center"/>
              <w:rPr>
                <w:rFonts w:ascii="Times New Roman" w:hAnsi="Times New Roman" w:cs="Times New Roman"/>
                <w:b/>
                <w:bCs/>
                <w:sz w:val="20"/>
                <w:szCs w:val="20"/>
                <w:lang w:val="ro-RO"/>
              </w:rPr>
            </w:pPr>
            <w:r w:rsidRPr="007454AA">
              <w:rPr>
                <w:rFonts w:ascii="Times New Roman" w:hAnsi="Times New Roman" w:cs="Times New Roman"/>
                <w:b/>
                <w:bCs/>
                <w:sz w:val="20"/>
                <w:szCs w:val="20"/>
                <w:lang w:val="ro-RO"/>
              </w:rPr>
              <w:t>Redevență lunară canal</w:t>
            </w:r>
          </w:p>
        </w:tc>
        <w:tc>
          <w:tcPr>
            <w:tcW w:w="2340" w:type="dxa"/>
            <w:tcBorders>
              <w:top w:val="single" w:sz="2" w:space="0" w:color="000000"/>
              <w:left w:val="single" w:sz="2" w:space="0" w:color="000000"/>
              <w:bottom w:val="single" w:sz="2" w:space="0" w:color="000000"/>
              <w:right w:val="single" w:sz="2" w:space="0" w:color="000000"/>
            </w:tcBorders>
          </w:tcPr>
          <w:p w14:paraId="55E4CF4E" w14:textId="77777777" w:rsidR="00BA60A2" w:rsidRPr="007454AA" w:rsidRDefault="00BA60A2" w:rsidP="00302DDA">
            <w:pPr>
              <w:jc w:val="center"/>
              <w:rPr>
                <w:rFonts w:ascii="Times New Roman" w:hAnsi="Times New Roman" w:cs="Times New Roman"/>
                <w:b/>
                <w:bCs/>
                <w:sz w:val="20"/>
                <w:szCs w:val="20"/>
                <w:lang w:val="ro-RO"/>
              </w:rPr>
            </w:pPr>
          </w:p>
          <w:p w14:paraId="268EBD70" w14:textId="07DF6589" w:rsidR="00D72E5B" w:rsidRPr="007454AA" w:rsidRDefault="00D72E5B" w:rsidP="00302DDA">
            <w:pPr>
              <w:jc w:val="center"/>
              <w:rPr>
                <w:rFonts w:ascii="Times New Roman" w:hAnsi="Times New Roman" w:cs="Times New Roman"/>
                <w:b/>
                <w:bCs/>
                <w:sz w:val="20"/>
                <w:szCs w:val="20"/>
                <w:lang w:val="ro-RO"/>
              </w:rPr>
            </w:pPr>
            <w:r w:rsidRPr="007454AA">
              <w:rPr>
                <w:rFonts w:ascii="Times New Roman" w:hAnsi="Times New Roman" w:cs="Times New Roman"/>
                <w:b/>
                <w:bCs/>
                <w:sz w:val="20"/>
                <w:szCs w:val="20"/>
                <w:lang w:val="ro-RO"/>
              </w:rPr>
              <w:t>Redevență totală lunară (apă +canal)</w:t>
            </w:r>
          </w:p>
        </w:tc>
      </w:tr>
      <w:tr w:rsidR="007454AA" w:rsidRPr="007454AA" w14:paraId="64CE9644" w14:textId="77777777" w:rsidTr="00414221">
        <w:trPr>
          <w:trHeight w:val="335"/>
        </w:trPr>
        <w:tc>
          <w:tcPr>
            <w:tcW w:w="1382" w:type="dxa"/>
            <w:tcBorders>
              <w:top w:val="single" w:sz="2" w:space="0" w:color="000000"/>
              <w:left w:val="single" w:sz="2" w:space="0" w:color="000000"/>
              <w:bottom w:val="single" w:sz="2" w:space="0" w:color="000000"/>
              <w:right w:val="single" w:sz="2" w:space="0" w:color="000000"/>
            </w:tcBorders>
          </w:tcPr>
          <w:p w14:paraId="05640D87" w14:textId="5EC89584" w:rsidR="00D72E5B" w:rsidRPr="007454AA" w:rsidRDefault="00377720" w:rsidP="00D72E5B">
            <w:pPr>
              <w:rPr>
                <w:rFonts w:ascii="Times New Roman" w:hAnsi="Times New Roman" w:cs="Times New Roman"/>
                <w:sz w:val="20"/>
                <w:szCs w:val="20"/>
                <w:lang w:val="ro-RO"/>
              </w:rPr>
            </w:pPr>
            <w:r w:rsidRPr="007454AA">
              <w:rPr>
                <w:rFonts w:ascii="Times New Roman" w:hAnsi="Times New Roman" w:cs="Times New Roman"/>
                <w:sz w:val="20"/>
                <w:szCs w:val="20"/>
                <w:lang w:val="ro-RO"/>
              </w:rPr>
              <w:t xml:space="preserve">          </w:t>
            </w:r>
            <w:r w:rsidR="008564C7" w:rsidRPr="007454AA">
              <w:rPr>
                <w:rFonts w:ascii="Times New Roman" w:hAnsi="Times New Roman" w:cs="Times New Roman"/>
                <w:sz w:val="20"/>
                <w:szCs w:val="20"/>
                <w:lang w:val="ro-RO"/>
              </w:rPr>
              <w:t>0</w:t>
            </w:r>
          </w:p>
        </w:tc>
        <w:tc>
          <w:tcPr>
            <w:tcW w:w="2488" w:type="dxa"/>
            <w:tcBorders>
              <w:top w:val="single" w:sz="2" w:space="0" w:color="000000"/>
              <w:left w:val="single" w:sz="2" w:space="0" w:color="000000"/>
              <w:bottom w:val="single" w:sz="2" w:space="0" w:color="000000"/>
              <w:right w:val="single" w:sz="2" w:space="0" w:color="000000"/>
            </w:tcBorders>
          </w:tcPr>
          <w:p w14:paraId="6A67BA66" w14:textId="77777777" w:rsidR="00D72E5B" w:rsidRPr="007454AA" w:rsidRDefault="00D72E5B" w:rsidP="00D72E5B">
            <w:pPr>
              <w:ind w:right="19"/>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1</w:t>
            </w:r>
          </w:p>
        </w:tc>
        <w:tc>
          <w:tcPr>
            <w:tcW w:w="2160" w:type="dxa"/>
            <w:tcBorders>
              <w:top w:val="single" w:sz="2" w:space="0" w:color="000000"/>
              <w:left w:val="single" w:sz="2" w:space="0" w:color="000000"/>
              <w:bottom w:val="single" w:sz="2" w:space="0" w:color="000000"/>
              <w:right w:val="single" w:sz="2" w:space="0" w:color="000000"/>
            </w:tcBorders>
          </w:tcPr>
          <w:p w14:paraId="2866CA66" w14:textId="77777777" w:rsidR="00D72E5B" w:rsidRPr="007454AA" w:rsidRDefault="00D72E5B" w:rsidP="00D72E5B">
            <w:pPr>
              <w:ind w:right="29"/>
              <w:jc w:val="center"/>
              <w:rPr>
                <w:rFonts w:ascii="Times New Roman" w:hAnsi="Times New Roman" w:cs="Times New Roman"/>
                <w:b/>
                <w:bCs/>
                <w:sz w:val="20"/>
                <w:szCs w:val="20"/>
                <w:lang w:val="ro-RO"/>
              </w:rPr>
            </w:pPr>
            <w:r w:rsidRPr="007454AA">
              <w:rPr>
                <w:rFonts w:ascii="Times New Roman" w:hAnsi="Times New Roman" w:cs="Times New Roman"/>
                <w:b/>
                <w:bCs/>
                <w:sz w:val="20"/>
                <w:szCs w:val="20"/>
                <w:lang w:val="ro-RO"/>
              </w:rPr>
              <w:t>APĂ</w:t>
            </w:r>
          </w:p>
        </w:tc>
        <w:tc>
          <w:tcPr>
            <w:tcW w:w="2160" w:type="dxa"/>
            <w:tcBorders>
              <w:top w:val="single" w:sz="2" w:space="0" w:color="000000"/>
              <w:left w:val="single" w:sz="2" w:space="0" w:color="000000"/>
              <w:bottom w:val="single" w:sz="2" w:space="0" w:color="000000"/>
              <w:right w:val="single" w:sz="2" w:space="0" w:color="000000"/>
            </w:tcBorders>
          </w:tcPr>
          <w:p w14:paraId="0A6F81C0" w14:textId="77777777" w:rsidR="00D72E5B" w:rsidRPr="007454AA" w:rsidRDefault="00D72E5B" w:rsidP="00D72E5B">
            <w:pPr>
              <w:ind w:right="14"/>
              <w:jc w:val="center"/>
              <w:rPr>
                <w:rFonts w:ascii="Times New Roman" w:hAnsi="Times New Roman" w:cs="Times New Roman"/>
                <w:b/>
                <w:bCs/>
                <w:sz w:val="20"/>
                <w:szCs w:val="20"/>
                <w:lang w:val="ro-RO"/>
              </w:rPr>
            </w:pPr>
            <w:r w:rsidRPr="007454AA">
              <w:rPr>
                <w:rFonts w:ascii="Times New Roman" w:hAnsi="Times New Roman" w:cs="Times New Roman"/>
                <w:b/>
                <w:bCs/>
                <w:sz w:val="20"/>
                <w:szCs w:val="20"/>
                <w:lang w:val="ro-RO"/>
              </w:rPr>
              <w:t>CANAL</w:t>
            </w:r>
          </w:p>
        </w:tc>
        <w:tc>
          <w:tcPr>
            <w:tcW w:w="2340" w:type="dxa"/>
            <w:tcBorders>
              <w:top w:val="single" w:sz="2" w:space="0" w:color="000000"/>
              <w:left w:val="single" w:sz="2" w:space="0" w:color="000000"/>
              <w:bottom w:val="single" w:sz="2" w:space="0" w:color="000000"/>
              <w:right w:val="single" w:sz="2" w:space="0" w:color="000000"/>
            </w:tcBorders>
          </w:tcPr>
          <w:p w14:paraId="72D15C4B" w14:textId="77777777" w:rsidR="00D72E5B" w:rsidRPr="007454AA" w:rsidRDefault="00D72E5B" w:rsidP="00302DDA">
            <w:pPr>
              <w:ind w:left="65"/>
              <w:jc w:val="center"/>
              <w:rPr>
                <w:rFonts w:ascii="Times New Roman" w:hAnsi="Times New Roman" w:cs="Times New Roman"/>
                <w:b/>
                <w:bCs/>
                <w:sz w:val="20"/>
                <w:szCs w:val="20"/>
                <w:lang w:val="ro-RO"/>
              </w:rPr>
            </w:pPr>
            <w:r w:rsidRPr="007454AA">
              <w:rPr>
                <w:rFonts w:ascii="Times New Roman" w:hAnsi="Times New Roman" w:cs="Times New Roman"/>
                <w:b/>
                <w:bCs/>
                <w:sz w:val="20"/>
                <w:szCs w:val="20"/>
                <w:lang w:val="ro-RO"/>
              </w:rPr>
              <w:t>APĂ + CANAL</w:t>
            </w:r>
          </w:p>
        </w:tc>
      </w:tr>
      <w:tr w:rsidR="007454AA" w:rsidRPr="007454AA" w14:paraId="3C5D699A" w14:textId="77777777" w:rsidTr="00414221">
        <w:trPr>
          <w:trHeight w:val="324"/>
        </w:trPr>
        <w:tc>
          <w:tcPr>
            <w:tcW w:w="1382" w:type="dxa"/>
            <w:tcBorders>
              <w:top w:val="single" w:sz="2" w:space="0" w:color="000000"/>
              <w:left w:val="single" w:sz="2" w:space="0" w:color="000000"/>
              <w:bottom w:val="single" w:sz="2" w:space="0" w:color="000000"/>
              <w:right w:val="single" w:sz="2" w:space="0" w:color="000000"/>
            </w:tcBorders>
          </w:tcPr>
          <w:p w14:paraId="646793A1" w14:textId="77777777" w:rsidR="00D72E5B" w:rsidRPr="007454AA" w:rsidRDefault="00D72E5B" w:rsidP="00292ED5">
            <w:pPr>
              <w:ind w:right="14"/>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1</w:t>
            </w:r>
          </w:p>
        </w:tc>
        <w:tc>
          <w:tcPr>
            <w:tcW w:w="2488" w:type="dxa"/>
            <w:tcBorders>
              <w:top w:val="single" w:sz="2" w:space="0" w:color="000000"/>
              <w:left w:val="single" w:sz="2" w:space="0" w:color="000000"/>
              <w:bottom w:val="single" w:sz="2" w:space="0" w:color="000000"/>
              <w:right w:val="single" w:sz="2" w:space="0" w:color="000000"/>
            </w:tcBorders>
          </w:tcPr>
          <w:p w14:paraId="74977B06" w14:textId="77777777" w:rsidR="00D72E5B" w:rsidRPr="007454AA" w:rsidRDefault="00D72E5B" w:rsidP="00D72E5B">
            <w:pPr>
              <w:rPr>
                <w:rFonts w:ascii="Times New Roman" w:hAnsi="Times New Roman" w:cs="Times New Roman"/>
                <w:sz w:val="20"/>
                <w:szCs w:val="20"/>
                <w:lang w:val="ro-RO"/>
              </w:rPr>
            </w:pPr>
            <w:r w:rsidRPr="007454AA">
              <w:rPr>
                <w:rFonts w:ascii="Times New Roman" w:hAnsi="Times New Roman" w:cs="Times New Roman"/>
                <w:sz w:val="20"/>
                <w:szCs w:val="20"/>
                <w:lang w:val="ro-RO"/>
              </w:rPr>
              <w:t>SATU MARE</w:t>
            </w:r>
          </w:p>
        </w:tc>
        <w:tc>
          <w:tcPr>
            <w:tcW w:w="2160" w:type="dxa"/>
            <w:tcBorders>
              <w:top w:val="single" w:sz="2" w:space="0" w:color="000000"/>
              <w:left w:val="single" w:sz="2" w:space="0" w:color="000000"/>
              <w:bottom w:val="single" w:sz="2" w:space="0" w:color="000000"/>
              <w:right w:val="single" w:sz="2" w:space="0" w:color="000000"/>
            </w:tcBorders>
          </w:tcPr>
          <w:p w14:paraId="725798D3" w14:textId="77777777" w:rsidR="00D72E5B" w:rsidRPr="007454AA" w:rsidRDefault="00D72E5B" w:rsidP="00D72E5B">
            <w:pPr>
              <w:ind w:right="2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620.000</w:t>
            </w:r>
          </w:p>
        </w:tc>
        <w:tc>
          <w:tcPr>
            <w:tcW w:w="2160" w:type="dxa"/>
            <w:tcBorders>
              <w:top w:val="single" w:sz="2" w:space="0" w:color="000000"/>
              <w:left w:val="single" w:sz="2" w:space="0" w:color="000000"/>
              <w:bottom w:val="single" w:sz="2" w:space="0" w:color="000000"/>
              <w:right w:val="single" w:sz="2" w:space="0" w:color="000000"/>
            </w:tcBorders>
          </w:tcPr>
          <w:p w14:paraId="258EDC67" w14:textId="77777777" w:rsidR="00D72E5B" w:rsidRPr="007454AA" w:rsidRDefault="00D72E5B" w:rsidP="00D72E5B">
            <w:pPr>
              <w:ind w:right="26"/>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680.000</w:t>
            </w:r>
          </w:p>
        </w:tc>
        <w:tc>
          <w:tcPr>
            <w:tcW w:w="2340" w:type="dxa"/>
            <w:tcBorders>
              <w:top w:val="single" w:sz="2" w:space="0" w:color="000000"/>
              <w:left w:val="single" w:sz="2" w:space="0" w:color="000000"/>
              <w:bottom w:val="single" w:sz="2" w:space="0" w:color="000000"/>
              <w:right w:val="single" w:sz="2" w:space="0" w:color="000000"/>
            </w:tcBorders>
          </w:tcPr>
          <w:p w14:paraId="74AA17BB" w14:textId="77777777" w:rsidR="00D72E5B" w:rsidRPr="007454AA" w:rsidRDefault="00D72E5B" w:rsidP="00D72E5B">
            <w:pPr>
              <w:ind w:right="26"/>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1.300.000</w:t>
            </w:r>
          </w:p>
        </w:tc>
      </w:tr>
      <w:tr w:rsidR="007454AA" w:rsidRPr="007454AA" w14:paraId="20EF024E" w14:textId="77777777" w:rsidTr="00414221">
        <w:trPr>
          <w:trHeight w:val="319"/>
        </w:trPr>
        <w:tc>
          <w:tcPr>
            <w:tcW w:w="1382" w:type="dxa"/>
            <w:tcBorders>
              <w:top w:val="single" w:sz="2" w:space="0" w:color="000000"/>
              <w:left w:val="single" w:sz="2" w:space="0" w:color="000000"/>
              <w:bottom w:val="single" w:sz="2" w:space="0" w:color="000000"/>
              <w:right w:val="single" w:sz="2" w:space="0" w:color="000000"/>
            </w:tcBorders>
          </w:tcPr>
          <w:p w14:paraId="66A91EC5" w14:textId="77777777" w:rsidR="00D72E5B" w:rsidRPr="007454AA" w:rsidRDefault="00D72E5B" w:rsidP="00292ED5">
            <w:pPr>
              <w:ind w:right="22"/>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2</w:t>
            </w:r>
          </w:p>
        </w:tc>
        <w:tc>
          <w:tcPr>
            <w:tcW w:w="2488" w:type="dxa"/>
            <w:tcBorders>
              <w:top w:val="single" w:sz="2" w:space="0" w:color="000000"/>
              <w:left w:val="single" w:sz="2" w:space="0" w:color="000000"/>
              <w:bottom w:val="single" w:sz="2" w:space="0" w:color="000000"/>
              <w:right w:val="single" w:sz="2" w:space="0" w:color="000000"/>
            </w:tcBorders>
          </w:tcPr>
          <w:p w14:paraId="010E6601" w14:textId="77777777" w:rsidR="00D72E5B" w:rsidRPr="007454AA" w:rsidRDefault="00D72E5B" w:rsidP="00D72E5B">
            <w:pPr>
              <w:ind w:left="7"/>
              <w:rPr>
                <w:rFonts w:ascii="Times New Roman" w:hAnsi="Times New Roman" w:cs="Times New Roman"/>
                <w:sz w:val="20"/>
                <w:szCs w:val="20"/>
                <w:lang w:val="ro-RO"/>
              </w:rPr>
            </w:pPr>
            <w:r w:rsidRPr="007454AA">
              <w:rPr>
                <w:rFonts w:ascii="Times New Roman" w:hAnsi="Times New Roman" w:cs="Times New Roman"/>
                <w:sz w:val="20"/>
                <w:szCs w:val="20"/>
                <w:lang w:val="ro-RO"/>
              </w:rPr>
              <w:t>CAREI</w:t>
            </w:r>
          </w:p>
        </w:tc>
        <w:tc>
          <w:tcPr>
            <w:tcW w:w="2160" w:type="dxa"/>
            <w:tcBorders>
              <w:top w:val="single" w:sz="2" w:space="0" w:color="000000"/>
              <w:left w:val="single" w:sz="2" w:space="0" w:color="000000"/>
              <w:bottom w:val="single" w:sz="2" w:space="0" w:color="000000"/>
              <w:right w:val="single" w:sz="2" w:space="0" w:color="000000"/>
            </w:tcBorders>
          </w:tcPr>
          <w:p w14:paraId="206BE033" w14:textId="77777777" w:rsidR="00D72E5B" w:rsidRPr="007454AA" w:rsidRDefault="00D72E5B" w:rsidP="00D72E5B">
            <w:pPr>
              <w:ind w:right="2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95.000</w:t>
            </w:r>
          </w:p>
        </w:tc>
        <w:tc>
          <w:tcPr>
            <w:tcW w:w="2160" w:type="dxa"/>
            <w:tcBorders>
              <w:top w:val="single" w:sz="2" w:space="0" w:color="000000"/>
              <w:left w:val="single" w:sz="2" w:space="0" w:color="000000"/>
              <w:bottom w:val="single" w:sz="2" w:space="0" w:color="000000"/>
              <w:right w:val="single" w:sz="2" w:space="0" w:color="000000"/>
            </w:tcBorders>
          </w:tcPr>
          <w:p w14:paraId="6584C1F8" w14:textId="77777777" w:rsidR="00D72E5B" w:rsidRPr="007454AA" w:rsidRDefault="00D72E5B" w:rsidP="00D72E5B">
            <w:pPr>
              <w:ind w:right="26"/>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135.000</w:t>
            </w:r>
          </w:p>
        </w:tc>
        <w:tc>
          <w:tcPr>
            <w:tcW w:w="2340" w:type="dxa"/>
            <w:tcBorders>
              <w:top w:val="single" w:sz="2" w:space="0" w:color="000000"/>
              <w:left w:val="single" w:sz="2" w:space="0" w:color="000000"/>
              <w:bottom w:val="single" w:sz="2" w:space="0" w:color="000000"/>
              <w:right w:val="single" w:sz="2" w:space="0" w:color="000000"/>
            </w:tcBorders>
          </w:tcPr>
          <w:p w14:paraId="31122A56" w14:textId="77777777" w:rsidR="00D72E5B" w:rsidRPr="007454AA" w:rsidRDefault="00D72E5B" w:rsidP="00D72E5B">
            <w:pPr>
              <w:ind w:right="26"/>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230.000</w:t>
            </w:r>
          </w:p>
        </w:tc>
      </w:tr>
      <w:tr w:rsidR="007454AA" w:rsidRPr="007454AA" w14:paraId="00D607AF" w14:textId="77777777" w:rsidTr="00414221">
        <w:trPr>
          <w:trHeight w:val="328"/>
        </w:trPr>
        <w:tc>
          <w:tcPr>
            <w:tcW w:w="1382" w:type="dxa"/>
            <w:tcBorders>
              <w:top w:val="single" w:sz="2" w:space="0" w:color="000000"/>
              <w:left w:val="single" w:sz="2" w:space="0" w:color="000000"/>
              <w:bottom w:val="single" w:sz="2" w:space="0" w:color="000000"/>
              <w:right w:val="single" w:sz="2" w:space="0" w:color="000000"/>
            </w:tcBorders>
          </w:tcPr>
          <w:p w14:paraId="0C3834BE" w14:textId="77777777" w:rsidR="00D72E5B" w:rsidRPr="007454AA" w:rsidRDefault="00D72E5B" w:rsidP="00292ED5">
            <w:pPr>
              <w:ind w:right="22"/>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3</w:t>
            </w:r>
          </w:p>
        </w:tc>
        <w:tc>
          <w:tcPr>
            <w:tcW w:w="2488" w:type="dxa"/>
            <w:tcBorders>
              <w:top w:val="single" w:sz="2" w:space="0" w:color="000000"/>
              <w:left w:val="single" w:sz="2" w:space="0" w:color="000000"/>
              <w:bottom w:val="single" w:sz="2" w:space="0" w:color="000000"/>
              <w:right w:val="single" w:sz="2" w:space="0" w:color="000000"/>
            </w:tcBorders>
          </w:tcPr>
          <w:p w14:paraId="634C1EA9" w14:textId="77777777" w:rsidR="00D72E5B" w:rsidRPr="007454AA" w:rsidRDefault="00D72E5B" w:rsidP="00D72E5B">
            <w:pPr>
              <w:rPr>
                <w:rFonts w:ascii="Times New Roman" w:hAnsi="Times New Roman" w:cs="Times New Roman"/>
                <w:sz w:val="20"/>
                <w:szCs w:val="20"/>
                <w:lang w:val="ro-RO"/>
              </w:rPr>
            </w:pPr>
            <w:r w:rsidRPr="007454AA">
              <w:rPr>
                <w:rFonts w:ascii="Times New Roman" w:hAnsi="Times New Roman" w:cs="Times New Roman"/>
                <w:sz w:val="20"/>
                <w:szCs w:val="20"/>
                <w:lang w:val="ro-RO"/>
              </w:rPr>
              <w:t>TĂȘNAD</w:t>
            </w:r>
          </w:p>
        </w:tc>
        <w:tc>
          <w:tcPr>
            <w:tcW w:w="2160" w:type="dxa"/>
            <w:tcBorders>
              <w:top w:val="single" w:sz="2" w:space="0" w:color="000000"/>
              <w:left w:val="single" w:sz="2" w:space="0" w:color="000000"/>
              <w:bottom w:val="single" w:sz="2" w:space="0" w:color="000000"/>
              <w:right w:val="single" w:sz="2" w:space="0" w:color="000000"/>
            </w:tcBorders>
          </w:tcPr>
          <w:p w14:paraId="7A4117BA" w14:textId="77777777" w:rsidR="00D72E5B" w:rsidRPr="007454AA" w:rsidRDefault="00D72E5B" w:rsidP="00D72E5B">
            <w:pPr>
              <w:ind w:right="2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45.000</w:t>
            </w:r>
          </w:p>
        </w:tc>
        <w:tc>
          <w:tcPr>
            <w:tcW w:w="2160" w:type="dxa"/>
            <w:tcBorders>
              <w:top w:val="single" w:sz="2" w:space="0" w:color="000000"/>
              <w:left w:val="single" w:sz="2" w:space="0" w:color="000000"/>
              <w:bottom w:val="single" w:sz="2" w:space="0" w:color="000000"/>
              <w:right w:val="single" w:sz="2" w:space="0" w:color="000000"/>
            </w:tcBorders>
          </w:tcPr>
          <w:p w14:paraId="2E382EB6" w14:textId="77777777" w:rsidR="00D72E5B" w:rsidRPr="007454AA" w:rsidRDefault="00D72E5B" w:rsidP="00D72E5B">
            <w:pPr>
              <w:ind w:right="26"/>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30.000</w:t>
            </w:r>
          </w:p>
        </w:tc>
        <w:tc>
          <w:tcPr>
            <w:tcW w:w="2340" w:type="dxa"/>
            <w:tcBorders>
              <w:top w:val="single" w:sz="2" w:space="0" w:color="000000"/>
              <w:left w:val="single" w:sz="2" w:space="0" w:color="000000"/>
              <w:bottom w:val="single" w:sz="2" w:space="0" w:color="000000"/>
              <w:right w:val="single" w:sz="2" w:space="0" w:color="000000"/>
            </w:tcBorders>
          </w:tcPr>
          <w:p w14:paraId="3C64C493" w14:textId="77777777" w:rsidR="00D72E5B" w:rsidRPr="007454AA" w:rsidRDefault="00D72E5B" w:rsidP="00D72E5B">
            <w:pPr>
              <w:ind w:right="26"/>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75.000</w:t>
            </w:r>
          </w:p>
        </w:tc>
      </w:tr>
      <w:tr w:rsidR="007454AA" w:rsidRPr="007454AA" w14:paraId="57C9B681" w14:textId="77777777" w:rsidTr="00414221">
        <w:trPr>
          <w:trHeight w:val="326"/>
        </w:trPr>
        <w:tc>
          <w:tcPr>
            <w:tcW w:w="1382" w:type="dxa"/>
            <w:tcBorders>
              <w:top w:val="single" w:sz="2" w:space="0" w:color="000000"/>
              <w:left w:val="single" w:sz="2" w:space="0" w:color="000000"/>
              <w:bottom w:val="single" w:sz="2" w:space="0" w:color="000000"/>
              <w:right w:val="single" w:sz="2" w:space="0" w:color="000000"/>
            </w:tcBorders>
          </w:tcPr>
          <w:p w14:paraId="2DF1749B" w14:textId="77777777" w:rsidR="00D72E5B" w:rsidRPr="007454AA" w:rsidRDefault="00D72E5B" w:rsidP="00292ED5">
            <w:pPr>
              <w:ind w:right="14"/>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4</w:t>
            </w:r>
          </w:p>
        </w:tc>
        <w:tc>
          <w:tcPr>
            <w:tcW w:w="2488" w:type="dxa"/>
            <w:tcBorders>
              <w:top w:val="single" w:sz="2" w:space="0" w:color="000000"/>
              <w:left w:val="single" w:sz="2" w:space="0" w:color="000000"/>
              <w:bottom w:val="single" w:sz="2" w:space="0" w:color="000000"/>
              <w:right w:val="single" w:sz="2" w:space="0" w:color="000000"/>
            </w:tcBorders>
          </w:tcPr>
          <w:p w14:paraId="23132259" w14:textId="77777777" w:rsidR="00D72E5B" w:rsidRPr="007454AA" w:rsidRDefault="00D72E5B" w:rsidP="00D72E5B">
            <w:pPr>
              <w:ind w:left="7"/>
              <w:rPr>
                <w:rFonts w:ascii="Times New Roman" w:hAnsi="Times New Roman" w:cs="Times New Roman"/>
                <w:sz w:val="20"/>
                <w:szCs w:val="20"/>
                <w:lang w:val="ro-RO"/>
              </w:rPr>
            </w:pPr>
            <w:r w:rsidRPr="007454AA">
              <w:rPr>
                <w:rFonts w:ascii="Times New Roman" w:hAnsi="Times New Roman" w:cs="Times New Roman"/>
                <w:sz w:val="20"/>
                <w:szCs w:val="20"/>
                <w:lang w:val="ro-RO"/>
              </w:rPr>
              <w:t>ARDUD</w:t>
            </w:r>
          </w:p>
        </w:tc>
        <w:tc>
          <w:tcPr>
            <w:tcW w:w="2160" w:type="dxa"/>
            <w:tcBorders>
              <w:top w:val="single" w:sz="2" w:space="0" w:color="000000"/>
              <w:left w:val="single" w:sz="2" w:space="0" w:color="000000"/>
              <w:bottom w:val="single" w:sz="2" w:space="0" w:color="000000"/>
              <w:right w:val="single" w:sz="2" w:space="0" w:color="000000"/>
            </w:tcBorders>
          </w:tcPr>
          <w:p w14:paraId="30196C9D" w14:textId="77777777" w:rsidR="00D72E5B" w:rsidRPr="007454AA" w:rsidRDefault="00D72E5B" w:rsidP="00D72E5B">
            <w:pPr>
              <w:ind w:right="2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17.000</w:t>
            </w:r>
          </w:p>
        </w:tc>
        <w:tc>
          <w:tcPr>
            <w:tcW w:w="2160" w:type="dxa"/>
            <w:tcBorders>
              <w:top w:val="single" w:sz="2" w:space="0" w:color="000000"/>
              <w:left w:val="single" w:sz="2" w:space="0" w:color="000000"/>
              <w:bottom w:val="single" w:sz="2" w:space="0" w:color="000000"/>
              <w:right w:val="single" w:sz="2" w:space="0" w:color="000000"/>
            </w:tcBorders>
          </w:tcPr>
          <w:p w14:paraId="5A688EAD" w14:textId="77777777" w:rsidR="00D72E5B" w:rsidRPr="007454AA" w:rsidRDefault="00D72E5B" w:rsidP="00D72E5B">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10.000</w:t>
            </w:r>
          </w:p>
        </w:tc>
        <w:tc>
          <w:tcPr>
            <w:tcW w:w="2340" w:type="dxa"/>
            <w:tcBorders>
              <w:top w:val="single" w:sz="2" w:space="0" w:color="000000"/>
              <w:left w:val="single" w:sz="2" w:space="0" w:color="000000"/>
              <w:bottom w:val="single" w:sz="2" w:space="0" w:color="000000"/>
              <w:right w:val="single" w:sz="2" w:space="0" w:color="000000"/>
            </w:tcBorders>
          </w:tcPr>
          <w:p w14:paraId="7836578D" w14:textId="77777777" w:rsidR="00D72E5B" w:rsidRPr="007454AA" w:rsidRDefault="00D72E5B" w:rsidP="00D72E5B">
            <w:pPr>
              <w:ind w:right="26"/>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27.000</w:t>
            </w:r>
          </w:p>
        </w:tc>
      </w:tr>
      <w:tr w:rsidR="007454AA" w:rsidRPr="007454AA" w14:paraId="73715317" w14:textId="77777777" w:rsidTr="00414221">
        <w:trPr>
          <w:trHeight w:val="324"/>
        </w:trPr>
        <w:tc>
          <w:tcPr>
            <w:tcW w:w="1382" w:type="dxa"/>
            <w:tcBorders>
              <w:top w:val="single" w:sz="2" w:space="0" w:color="000000"/>
              <w:left w:val="single" w:sz="2" w:space="0" w:color="000000"/>
              <w:bottom w:val="single" w:sz="2" w:space="0" w:color="000000"/>
              <w:right w:val="single" w:sz="2" w:space="0" w:color="000000"/>
            </w:tcBorders>
          </w:tcPr>
          <w:p w14:paraId="706B5D7C" w14:textId="77777777" w:rsidR="00D72E5B" w:rsidRPr="007454AA" w:rsidRDefault="00D72E5B" w:rsidP="00292ED5">
            <w:pPr>
              <w:ind w:right="14"/>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5</w:t>
            </w:r>
          </w:p>
        </w:tc>
        <w:tc>
          <w:tcPr>
            <w:tcW w:w="2488" w:type="dxa"/>
            <w:tcBorders>
              <w:top w:val="single" w:sz="2" w:space="0" w:color="000000"/>
              <w:left w:val="single" w:sz="2" w:space="0" w:color="000000"/>
              <w:bottom w:val="single" w:sz="2" w:space="0" w:color="000000"/>
              <w:right w:val="single" w:sz="2" w:space="0" w:color="000000"/>
            </w:tcBorders>
          </w:tcPr>
          <w:p w14:paraId="61EE4A17" w14:textId="77777777" w:rsidR="00D72E5B" w:rsidRPr="007454AA" w:rsidRDefault="00D72E5B" w:rsidP="00D72E5B">
            <w:pPr>
              <w:ind w:left="22"/>
              <w:rPr>
                <w:rFonts w:ascii="Times New Roman" w:hAnsi="Times New Roman" w:cs="Times New Roman"/>
                <w:sz w:val="20"/>
                <w:szCs w:val="20"/>
                <w:lang w:val="ro-RO"/>
              </w:rPr>
            </w:pPr>
            <w:r w:rsidRPr="007454AA">
              <w:rPr>
                <w:rFonts w:ascii="Times New Roman" w:hAnsi="Times New Roman" w:cs="Times New Roman"/>
                <w:sz w:val="20"/>
                <w:szCs w:val="20"/>
                <w:lang w:val="ro-RO"/>
              </w:rPr>
              <w:t>LIVADA</w:t>
            </w:r>
          </w:p>
        </w:tc>
        <w:tc>
          <w:tcPr>
            <w:tcW w:w="2160" w:type="dxa"/>
            <w:tcBorders>
              <w:top w:val="single" w:sz="2" w:space="0" w:color="000000"/>
              <w:left w:val="single" w:sz="2" w:space="0" w:color="000000"/>
              <w:bottom w:val="single" w:sz="2" w:space="0" w:color="000000"/>
              <w:right w:val="single" w:sz="2" w:space="0" w:color="000000"/>
            </w:tcBorders>
          </w:tcPr>
          <w:p w14:paraId="0D9D51DD" w14:textId="77777777" w:rsidR="00D72E5B" w:rsidRPr="007454AA" w:rsidRDefault="00D72E5B" w:rsidP="00D72E5B">
            <w:pPr>
              <w:ind w:right="2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9.500</w:t>
            </w:r>
          </w:p>
        </w:tc>
        <w:tc>
          <w:tcPr>
            <w:tcW w:w="2160" w:type="dxa"/>
            <w:tcBorders>
              <w:top w:val="single" w:sz="2" w:space="0" w:color="000000"/>
              <w:left w:val="single" w:sz="2" w:space="0" w:color="000000"/>
              <w:bottom w:val="single" w:sz="2" w:space="0" w:color="000000"/>
              <w:right w:val="single" w:sz="2" w:space="0" w:color="000000"/>
            </w:tcBorders>
          </w:tcPr>
          <w:p w14:paraId="675A4846" w14:textId="77777777" w:rsidR="00D72E5B" w:rsidRPr="007454AA" w:rsidRDefault="00D72E5B" w:rsidP="00D72E5B">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9.000</w:t>
            </w:r>
          </w:p>
        </w:tc>
        <w:tc>
          <w:tcPr>
            <w:tcW w:w="2340" w:type="dxa"/>
            <w:tcBorders>
              <w:top w:val="single" w:sz="2" w:space="0" w:color="000000"/>
              <w:left w:val="single" w:sz="2" w:space="0" w:color="000000"/>
              <w:bottom w:val="single" w:sz="2" w:space="0" w:color="000000"/>
              <w:right w:val="single" w:sz="2" w:space="0" w:color="000000"/>
            </w:tcBorders>
          </w:tcPr>
          <w:p w14:paraId="0D93A017" w14:textId="77777777" w:rsidR="00D72E5B" w:rsidRPr="007454AA" w:rsidRDefault="00D72E5B" w:rsidP="00D72E5B">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18.500</w:t>
            </w:r>
          </w:p>
        </w:tc>
      </w:tr>
      <w:tr w:rsidR="007454AA" w:rsidRPr="007454AA" w14:paraId="1E429CC2" w14:textId="77777777" w:rsidTr="00414221">
        <w:trPr>
          <w:trHeight w:val="324"/>
        </w:trPr>
        <w:tc>
          <w:tcPr>
            <w:tcW w:w="1382" w:type="dxa"/>
            <w:tcBorders>
              <w:top w:val="single" w:sz="2" w:space="0" w:color="000000"/>
              <w:left w:val="single" w:sz="2" w:space="0" w:color="000000"/>
              <w:bottom w:val="single" w:sz="2" w:space="0" w:color="000000"/>
              <w:right w:val="single" w:sz="2" w:space="0" w:color="000000"/>
            </w:tcBorders>
          </w:tcPr>
          <w:p w14:paraId="5D8D9729" w14:textId="77777777" w:rsidR="00D72E5B" w:rsidRPr="007454AA" w:rsidRDefault="00D72E5B" w:rsidP="00292ED5">
            <w:pPr>
              <w:ind w:right="14"/>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6</w:t>
            </w:r>
          </w:p>
        </w:tc>
        <w:tc>
          <w:tcPr>
            <w:tcW w:w="2488" w:type="dxa"/>
            <w:tcBorders>
              <w:top w:val="single" w:sz="2" w:space="0" w:color="000000"/>
              <w:left w:val="single" w:sz="2" w:space="0" w:color="000000"/>
              <w:bottom w:val="single" w:sz="2" w:space="0" w:color="000000"/>
              <w:right w:val="single" w:sz="2" w:space="0" w:color="000000"/>
            </w:tcBorders>
          </w:tcPr>
          <w:p w14:paraId="1BECD8D6" w14:textId="77777777" w:rsidR="00D72E5B" w:rsidRPr="007454AA" w:rsidRDefault="00D72E5B" w:rsidP="00D72E5B">
            <w:pPr>
              <w:ind w:left="22"/>
              <w:rPr>
                <w:rFonts w:ascii="Times New Roman" w:hAnsi="Times New Roman" w:cs="Times New Roman"/>
                <w:sz w:val="20"/>
                <w:szCs w:val="20"/>
                <w:lang w:val="ro-RO"/>
              </w:rPr>
            </w:pPr>
            <w:r w:rsidRPr="007454AA">
              <w:rPr>
                <w:rFonts w:ascii="Times New Roman" w:hAnsi="Times New Roman" w:cs="Times New Roman"/>
                <w:sz w:val="20"/>
                <w:szCs w:val="20"/>
                <w:lang w:val="ro-RO"/>
              </w:rPr>
              <w:t>NEGREȘTI OAȘ</w:t>
            </w:r>
          </w:p>
        </w:tc>
        <w:tc>
          <w:tcPr>
            <w:tcW w:w="2160" w:type="dxa"/>
            <w:tcBorders>
              <w:top w:val="single" w:sz="2" w:space="0" w:color="000000"/>
              <w:left w:val="single" w:sz="2" w:space="0" w:color="000000"/>
              <w:bottom w:val="single" w:sz="2" w:space="0" w:color="000000"/>
              <w:right w:val="single" w:sz="2" w:space="0" w:color="000000"/>
            </w:tcBorders>
          </w:tcPr>
          <w:p w14:paraId="68475485" w14:textId="77777777" w:rsidR="00D72E5B" w:rsidRPr="007454AA" w:rsidRDefault="00D72E5B" w:rsidP="00D72E5B">
            <w:pPr>
              <w:ind w:right="14"/>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54.000</w:t>
            </w:r>
          </w:p>
        </w:tc>
        <w:tc>
          <w:tcPr>
            <w:tcW w:w="2160" w:type="dxa"/>
            <w:tcBorders>
              <w:top w:val="single" w:sz="2" w:space="0" w:color="000000"/>
              <w:left w:val="single" w:sz="2" w:space="0" w:color="000000"/>
              <w:bottom w:val="single" w:sz="2" w:space="0" w:color="000000"/>
              <w:right w:val="single" w:sz="2" w:space="0" w:color="000000"/>
            </w:tcBorders>
          </w:tcPr>
          <w:p w14:paraId="138256CC" w14:textId="77777777" w:rsidR="00D72E5B" w:rsidRPr="007454AA" w:rsidRDefault="00D72E5B" w:rsidP="00D72E5B">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44.000</w:t>
            </w:r>
          </w:p>
        </w:tc>
        <w:tc>
          <w:tcPr>
            <w:tcW w:w="2340" w:type="dxa"/>
            <w:tcBorders>
              <w:top w:val="single" w:sz="2" w:space="0" w:color="000000"/>
              <w:left w:val="single" w:sz="2" w:space="0" w:color="000000"/>
              <w:bottom w:val="single" w:sz="2" w:space="0" w:color="000000"/>
              <w:right w:val="single" w:sz="2" w:space="0" w:color="000000"/>
            </w:tcBorders>
          </w:tcPr>
          <w:p w14:paraId="0A4899D8" w14:textId="77777777" w:rsidR="00D72E5B" w:rsidRPr="007454AA" w:rsidRDefault="00D72E5B" w:rsidP="00D72E5B">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98.000</w:t>
            </w:r>
          </w:p>
        </w:tc>
      </w:tr>
      <w:tr w:rsidR="007454AA" w:rsidRPr="007454AA" w14:paraId="7DB36D38" w14:textId="77777777" w:rsidTr="00414221">
        <w:trPr>
          <w:trHeight w:val="317"/>
        </w:trPr>
        <w:tc>
          <w:tcPr>
            <w:tcW w:w="1382" w:type="dxa"/>
            <w:tcBorders>
              <w:top w:val="single" w:sz="2" w:space="0" w:color="000000"/>
              <w:left w:val="single" w:sz="2" w:space="0" w:color="000000"/>
              <w:bottom w:val="single" w:sz="2" w:space="0" w:color="000000"/>
              <w:right w:val="single" w:sz="2" w:space="0" w:color="000000"/>
            </w:tcBorders>
          </w:tcPr>
          <w:p w14:paraId="7C84752C" w14:textId="77777777" w:rsidR="00D72E5B" w:rsidRPr="007454AA" w:rsidRDefault="00D72E5B" w:rsidP="00292ED5">
            <w:pPr>
              <w:ind w:right="14"/>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7</w:t>
            </w:r>
          </w:p>
        </w:tc>
        <w:tc>
          <w:tcPr>
            <w:tcW w:w="2488" w:type="dxa"/>
            <w:tcBorders>
              <w:top w:val="single" w:sz="2" w:space="0" w:color="000000"/>
              <w:left w:val="single" w:sz="2" w:space="0" w:color="000000"/>
              <w:bottom w:val="single" w:sz="2" w:space="0" w:color="000000"/>
              <w:right w:val="single" w:sz="2" w:space="0" w:color="000000"/>
            </w:tcBorders>
          </w:tcPr>
          <w:p w14:paraId="009009C1" w14:textId="77777777" w:rsidR="00D72E5B" w:rsidRPr="007454AA" w:rsidRDefault="00D72E5B" w:rsidP="00D72E5B">
            <w:pPr>
              <w:ind w:left="22"/>
              <w:rPr>
                <w:rFonts w:ascii="Times New Roman" w:hAnsi="Times New Roman" w:cs="Times New Roman"/>
                <w:sz w:val="20"/>
                <w:szCs w:val="20"/>
                <w:lang w:val="ro-RO"/>
              </w:rPr>
            </w:pPr>
            <w:r w:rsidRPr="007454AA">
              <w:rPr>
                <w:rFonts w:ascii="Times New Roman" w:hAnsi="Times New Roman" w:cs="Times New Roman"/>
                <w:sz w:val="20"/>
                <w:szCs w:val="20"/>
                <w:lang w:val="ro-RO"/>
              </w:rPr>
              <w:t>BOTIZ</w:t>
            </w:r>
          </w:p>
        </w:tc>
        <w:tc>
          <w:tcPr>
            <w:tcW w:w="2160" w:type="dxa"/>
            <w:tcBorders>
              <w:top w:val="single" w:sz="2" w:space="0" w:color="000000"/>
              <w:left w:val="single" w:sz="2" w:space="0" w:color="000000"/>
              <w:bottom w:val="single" w:sz="2" w:space="0" w:color="000000"/>
              <w:right w:val="single" w:sz="2" w:space="0" w:color="000000"/>
            </w:tcBorders>
          </w:tcPr>
          <w:p w14:paraId="30D2F2D4" w14:textId="77777777" w:rsidR="00D72E5B" w:rsidRPr="007454AA" w:rsidRDefault="00D72E5B" w:rsidP="00D72E5B">
            <w:pPr>
              <w:ind w:right="14"/>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18.000</w:t>
            </w:r>
          </w:p>
        </w:tc>
        <w:tc>
          <w:tcPr>
            <w:tcW w:w="2160" w:type="dxa"/>
            <w:tcBorders>
              <w:top w:val="single" w:sz="2" w:space="0" w:color="000000"/>
              <w:left w:val="single" w:sz="2" w:space="0" w:color="000000"/>
              <w:bottom w:val="single" w:sz="2" w:space="0" w:color="000000"/>
              <w:right w:val="single" w:sz="2" w:space="0" w:color="000000"/>
            </w:tcBorders>
          </w:tcPr>
          <w:p w14:paraId="27BA6DF5" w14:textId="77777777" w:rsidR="00D72E5B" w:rsidRPr="007454AA" w:rsidRDefault="00D72E5B" w:rsidP="00D72E5B">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13.000</w:t>
            </w:r>
          </w:p>
        </w:tc>
        <w:tc>
          <w:tcPr>
            <w:tcW w:w="2340" w:type="dxa"/>
            <w:tcBorders>
              <w:top w:val="single" w:sz="2" w:space="0" w:color="000000"/>
              <w:left w:val="single" w:sz="2" w:space="0" w:color="000000"/>
              <w:bottom w:val="single" w:sz="2" w:space="0" w:color="000000"/>
              <w:right w:val="single" w:sz="2" w:space="0" w:color="000000"/>
            </w:tcBorders>
          </w:tcPr>
          <w:p w14:paraId="36192529" w14:textId="77777777" w:rsidR="00D72E5B" w:rsidRPr="007454AA" w:rsidRDefault="00D72E5B" w:rsidP="00D72E5B">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31.000</w:t>
            </w:r>
          </w:p>
        </w:tc>
      </w:tr>
      <w:tr w:rsidR="007454AA" w:rsidRPr="007454AA" w14:paraId="67A7F995" w14:textId="77777777" w:rsidTr="00414221">
        <w:trPr>
          <w:trHeight w:val="321"/>
        </w:trPr>
        <w:tc>
          <w:tcPr>
            <w:tcW w:w="1382" w:type="dxa"/>
            <w:tcBorders>
              <w:top w:val="single" w:sz="2" w:space="0" w:color="000000"/>
              <w:left w:val="single" w:sz="2" w:space="0" w:color="000000"/>
              <w:bottom w:val="single" w:sz="2" w:space="0" w:color="000000"/>
              <w:right w:val="single" w:sz="2" w:space="0" w:color="000000"/>
            </w:tcBorders>
          </w:tcPr>
          <w:p w14:paraId="67720543" w14:textId="77777777" w:rsidR="00D72E5B" w:rsidRPr="007454AA" w:rsidRDefault="00D72E5B" w:rsidP="00292ED5">
            <w:pPr>
              <w:ind w:right="7"/>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8</w:t>
            </w:r>
          </w:p>
        </w:tc>
        <w:tc>
          <w:tcPr>
            <w:tcW w:w="2488" w:type="dxa"/>
            <w:tcBorders>
              <w:top w:val="single" w:sz="2" w:space="0" w:color="000000"/>
              <w:left w:val="single" w:sz="2" w:space="0" w:color="000000"/>
              <w:bottom w:val="single" w:sz="2" w:space="0" w:color="000000"/>
              <w:right w:val="single" w:sz="2" w:space="0" w:color="000000"/>
            </w:tcBorders>
          </w:tcPr>
          <w:p w14:paraId="1C40C85D" w14:textId="77777777" w:rsidR="00D72E5B" w:rsidRPr="007454AA" w:rsidRDefault="00D72E5B" w:rsidP="00D72E5B">
            <w:pPr>
              <w:ind w:left="14"/>
              <w:rPr>
                <w:rFonts w:ascii="Times New Roman" w:hAnsi="Times New Roman" w:cs="Times New Roman"/>
                <w:sz w:val="20"/>
                <w:szCs w:val="20"/>
                <w:lang w:val="ro-RO"/>
              </w:rPr>
            </w:pPr>
            <w:r w:rsidRPr="007454AA">
              <w:rPr>
                <w:rFonts w:ascii="Times New Roman" w:hAnsi="Times New Roman" w:cs="Times New Roman"/>
                <w:sz w:val="20"/>
                <w:szCs w:val="20"/>
                <w:lang w:val="ro-RO"/>
              </w:rPr>
              <w:t>CULCIU</w:t>
            </w:r>
          </w:p>
        </w:tc>
        <w:tc>
          <w:tcPr>
            <w:tcW w:w="2160" w:type="dxa"/>
            <w:tcBorders>
              <w:top w:val="single" w:sz="2" w:space="0" w:color="000000"/>
              <w:left w:val="single" w:sz="2" w:space="0" w:color="000000"/>
              <w:bottom w:val="single" w:sz="2" w:space="0" w:color="000000"/>
              <w:right w:val="single" w:sz="2" w:space="0" w:color="000000"/>
            </w:tcBorders>
          </w:tcPr>
          <w:p w14:paraId="7C535646" w14:textId="77777777" w:rsidR="00D72E5B" w:rsidRPr="007454AA" w:rsidRDefault="00D72E5B" w:rsidP="00D72E5B">
            <w:pPr>
              <w:ind w:right="14"/>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13.500</w:t>
            </w:r>
          </w:p>
        </w:tc>
        <w:tc>
          <w:tcPr>
            <w:tcW w:w="2160" w:type="dxa"/>
            <w:tcBorders>
              <w:top w:val="single" w:sz="2" w:space="0" w:color="000000"/>
              <w:left w:val="single" w:sz="2" w:space="0" w:color="000000"/>
              <w:bottom w:val="single" w:sz="2" w:space="0" w:color="000000"/>
              <w:right w:val="single" w:sz="2" w:space="0" w:color="000000"/>
            </w:tcBorders>
          </w:tcPr>
          <w:p w14:paraId="2421A801" w14:textId="77777777" w:rsidR="00D72E5B" w:rsidRPr="007454AA" w:rsidRDefault="00D72E5B" w:rsidP="00D72E5B">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3.500</w:t>
            </w:r>
          </w:p>
        </w:tc>
        <w:tc>
          <w:tcPr>
            <w:tcW w:w="2340" w:type="dxa"/>
            <w:tcBorders>
              <w:top w:val="single" w:sz="2" w:space="0" w:color="000000"/>
              <w:left w:val="single" w:sz="2" w:space="0" w:color="000000"/>
              <w:bottom w:val="single" w:sz="2" w:space="0" w:color="000000"/>
              <w:right w:val="single" w:sz="2" w:space="0" w:color="000000"/>
            </w:tcBorders>
          </w:tcPr>
          <w:p w14:paraId="3A36E97B" w14:textId="77777777" w:rsidR="00D72E5B" w:rsidRPr="007454AA" w:rsidRDefault="00D72E5B" w:rsidP="00D72E5B">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17.000</w:t>
            </w:r>
          </w:p>
        </w:tc>
      </w:tr>
      <w:tr w:rsidR="007454AA" w:rsidRPr="007454AA" w14:paraId="52E0F346" w14:textId="77777777" w:rsidTr="00414221">
        <w:trPr>
          <w:trHeight w:val="324"/>
        </w:trPr>
        <w:tc>
          <w:tcPr>
            <w:tcW w:w="1382" w:type="dxa"/>
            <w:tcBorders>
              <w:top w:val="single" w:sz="2" w:space="0" w:color="000000"/>
              <w:left w:val="single" w:sz="2" w:space="0" w:color="000000"/>
              <w:bottom w:val="single" w:sz="2" w:space="0" w:color="000000"/>
              <w:right w:val="single" w:sz="2" w:space="0" w:color="000000"/>
            </w:tcBorders>
          </w:tcPr>
          <w:p w14:paraId="321ECA88" w14:textId="77777777" w:rsidR="00D72E5B" w:rsidRPr="007454AA" w:rsidRDefault="00D72E5B" w:rsidP="00292ED5">
            <w:pPr>
              <w:ind w:right="7"/>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9</w:t>
            </w:r>
          </w:p>
        </w:tc>
        <w:tc>
          <w:tcPr>
            <w:tcW w:w="2488" w:type="dxa"/>
            <w:tcBorders>
              <w:top w:val="single" w:sz="2" w:space="0" w:color="000000"/>
              <w:left w:val="single" w:sz="2" w:space="0" w:color="000000"/>
              <w:bottom w:val="single" w:sz="2" w:space="0" w:color="000000"/>
              <w:right w:val="single" w:sz="2" w:space="0" w:color="000000"/>
            </w:tcBorders>
          </w:tcPr>
          <w:p w14:paraId="624C917B" w14:textId="77777777" w:rsidR="00D72E5B" w:rsidRPr="007454AA" w:rsidRDefault="00D72E5B" w:rsidP="00D72E5B">
            <w:pPr>
              <w:ind w:left="22"/>
              <w:rPr>
                <w:rFonts w:ascii="Times New Roman" w:hAnsi="Times New Roman" w:cs="Times New Roman"/>
                <w:sz w:val="20"/>
                <w:szCs w:val="20"/>
                <w:lang w:val="ro-RO"/>
              </w:rPr>
            </w:pPr>
            <w:r w:rsidRPr="007454AA">
              <w:rPr>
                <w:rFonts w:ascii="Times New Roman" w:hAnsi="Times New Roman" w:cs="Times New Roman"/>
                <w:sz w:val="20"/>
                <w:szCs w:val="20"/>
                <w:lang w:val="ro-RO"/>
              </w:rPr>
              <w:t>DOROLȚ</w:t>
            </w:r>
          </w:p>
        </w:tc>
        <w:tc>
          <w:tcPr>
            <w:tcW w:w="2160" w:type="dxa"/>
            <w:tcBorders>
              <w:top w:val="single" w:sz="2" w:space="0" w:color="000000"/>
              <w:left w:val="single" w:sz="2" w:space="0" w:color="000000"/>
              <w:bottom w:val="single" w:sz="2" w:space="0" w:color="000000"/>
              <w:right w:val="single" w:sz="2" w:space="0" w:color="000000"/>
            </w:tcBorders>
          </w:tcPr>
          <w:p w14:paraId="2E75FFDD" w14:textId="77777777" w:rsidR="00D72E5B" w:rsidRPr="007454AA" w:rsidRDefault="00D72E5B" w:rsidP="00D72E5B">
            <w:pPr>
              <w:ind w:right="14"/>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15.000</w:t>
            </w:r>
          </w:p>
        </w:tc>
        <w:tc>
          <w:tcPr>
            <w:tcW w:w="2160" w:type="dxa"/>
            <w:tcBorders>
              <w:top w:val="single" w:sz="2" w:space="0" w:color="000000"/>
              <w:left w:val="single" w:sz="2" w:space="0" w:color="000000"/>
              <w:bottom w:val="single" w:sz="2" w:space="0" w:color="000000"/>
              <w:right w:val="single" w:sz="2" w:space="0" w:color="000000"/>
            </w:tcBorders>
          </w:tcPr>
          <w:p w14:paraId="7FE59580" w14:textId="77777777" w:rsidR="00D72E5B" w:rsidRPr="007454AA" w:rsidRDefault="00D72E5B" w:rsidP="00D72E5B">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9.000</w:t>
            </w:r>
          </w:p>
        </w:tc>
        <w:tc>
          <w:tcPr>
            <w:tcW w:w="2340" w:type="dxa"/>
            <w:tcBorders>
              <w:top w:val="single" w:sz="2" w:space="0" w:color="000000"/>
              <w:left w:val="single" w:sz="2" w:space="0" w:color="000000"/>
              <w:bottom w:val="single" w:sz="2" w:space="0" w:color="000000"/>
              <w:right w:val="single" w:sz="2" w:space="0" w:color="000000"/>
            </w:tcBorders>
          </w:tcPr>
          <w:p w14:paraId="25A55600" w14:textId="77777777" w:rsidR="00D72E5B" w:rsidRPr="007454AA" w:rsidRDefault="00D72E5B" w:rsidP="00D72E5B">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24.000</w:t>
            </w:r>
          </w:p>
        </w:tc>
      </w:tr>
      <w:tr w:rsidR="007454AA" w:rsidRPr="007454AA" w14:paraId="3E51C0DE" w14:textId="77777777" w:rsidTr="00414221">
        <w:trPr>
          <w:trHeight w:val="324"/>
        </w:trPr>
        <w:tc>
          <w:tcPr>
            <w:tcW w:w="1382" w:type="dxa"/>
            <w:tcBorders>
              <w:top w:val="single" w:sz="2" w:space="0" w:color="000000"/>
              <w:left w:val="single" w:sz="2" w:space="0" w:color="000000"/>
              <w:bottom w:val="single" w:sz="2" w:space="0" w:color="000000"/>
              <w:right w:val="single" w:sz="2" w:space="0" w:color="000000"/>
            </w:tcBorders>
          </w:tcPr>
          <w:p w14:paraId="1AE1A3E4" w14:textId="77777777" w:rsidR="00D72E5B" w:rsidRPr="007454AA" w:rsidRDefault="00D72E5B" w:rsidP="00292ED5">
            <w:pPr>
              <w:ind w:left="84"/>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10</w:t>
            </w:r>
          </w:p>
        </w:tc>
        <w:tc>
          <w:tcPr>
            <w:tcW w:w="2488" w:type="dxa"/>
            <w:tcBorders>
              <w:top w:val="single" w:sz="2" w:space="0" w:color="000000"/>
              <w:left w:val="single" w:sz="2" w:space="0" w:color="000000"/>
              <w:bottom w:val="single" w:sz="2" w:space="0" w:color="000000"/>
              <w:right w:val="single" w:sz="2" w:space="0" w:color="000000"/>
            </w:tcBorders>
          </w:tcPr>
          <w:p w14:paraId="5D59250A" w14:textId="77777777" w:rsidR="00D72E5B" w:rsidRPr="007454AA" w:rsidRDefault="00D72E5B" w:rsidP="00D72E5B">
            <w:pPr>
              <w:ind w:left="22"/>
              <w:rPr>
                <w:rFonts w:ascii="Times New Roman" w:hAnsi="Times New Roman" w:cs="Times New Roman"/>
                <w:sz w:val="20"/>
                <w:szCs w:val="20"/>
                <w:lang w:val="ro-RO"/>
              </w:rPr>
            </w:pPr>
            <w:r w:rsidRPr="007454AA">
              <w:rPr>
                <w:rFonts w:ascii="Times New Roman" w:hAnsi="Times New Roman" w:cs="Times New Roman"/>
                <w:sz w:val="20"/>
                <w:szCs w:val="20"/>
                <w:lang w:val="ro-RO"/>
              </w:rPr>
              <w:t>LAZURI</w:t>
            </w:r>
          </w:p>
        </w:tc>
        <w:tc>
          <w:tcPr>
            <w:tcW w:w="2160" w:type="dxa"/>
            <w:tcBorders>
              <w:top w:val="single" w:sz="2" w:space="0" w:color="000000"/>
              <w:left w:val="single" w:sz="2" w:space="0" w:color="000000"/>
              <w:bottom w:val="single" w:sz="2" w:space="0" w:color="000000"/>
              <w:right w:val="single" w:sz="2" w:space="0" w:color="000000"/>
            </w:tcBorders>
          </w:tcPr>
          <w:p w14:paraId="3FEEC7DA" w14:textId="77777777" w:rsidR="00D72E5B" w:rsidRPr="007454AA" w:rsidRDefault="00D72E5B" w:rsidP="00D72E5B">
            <w:pPr>
              <w:ind w:right="14"/>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19.000</w:t>
            </w:r>
          </w:p>
        </w:tc>
        <w:tc>
          <w:tcPr>
            <w:tcW w:w="2160" w:type="dxa"/>
            <w:tcBorders>
              <w:top w:val="single" w:sz="2" w:space="0" w:color="000000"/>
              <w:left w:val="single" w:sz="2" w:space="0" w:color="000000"/>
              <w:bottom w:val="single" w:sz="2" w:space="0" w:color="000000"/>
              <w:right w:val="single" w:sz="2" w:space="0" w:color="000000"/>
            </w:tcBorders>
          </w:tcPr>
          <w:p w14:paraId="4675BA28" w14:textId="77777777" w:rsidR="00D72E5B" w:rsidRPr="007454AA" w:rsidRDefault="00D72E5B" w:rsidP="00D72E5B">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9.000</w:t>
            </w:r>
          </w:p>
        </w:tc>
        <w:tc>
          <w:tcPr>
            <w:tcW w:w="2340" w:type="dxa"/>
            <w:tcBorders>
              <w:top w:val="single" w:sz="2" w:space="0" w:color="000000"/>
              <w:left w:val="single" w:sz="2" w:space="0" w:color="000000"/>
              <w:bottom w:val="single" w:sz="2" w:space="0" w:color="000000"/>
              <w:right w:val="single" w:sz="2" w:space="0" w:color="000000"/>
            </w:tcBorders>
          </w:tcPr>
          <w:p w14:paraId="2D7360B5" w14:textId="77777777" w:rsidR="00D72E5B" w:rsidRPr="007454AA" w:rsidRDefault="00D72E5B" w:rsidP="00D72E5B">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28.000</w:t>
            </w:r>
          </w:p>
        </w:tc>
      </w:tr>
      <w:tr w:rsidR="007454AA" w:rsidRPr="007454AA" w14:paraId="45D5151E" w14:textId="77777777" w:rsidTr="00414221">
        <w:trPr>
          <w:trHeight w:val="324"/>
        </w:trPr>
        <w:tc>
          <w:tcPr>
            <w:tcW w:w="1382" w:type="dxa"/>
            <w:tcBorders>
              <w:top w:val="single" w:sz="2" w:space="0" w:color="000000"/>
              <w:left w:val="single" w:sz="2" w:space="0" w:color="000000"/>
              <w:bottom w:val="single" w:sz="2" w:space="0" w:color="000000"/>
              <w:right w:val="single" w:sz="2" w:space="0" w:color="000000"/>
            </w:tcBorders>
          </w:tcPr>
          <w:p w14:paraId="6160D891" w14:textId="77777777" w:rsidR="00D72E5B" w:rsidRPr="007454AA" w:rsidRDefault="00D72E5B" w:rsidP="00292ED5">
            <w:pPr>
              <w:ind w:left="76"/>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11</w:t>
            </w:r>
          </w:p>
        </w:tc>
        <w:tc>
          <w:tcPr>
            <w:tcW w:w="2488" w:type="dxa"/>
            <w:tcBorders>
              <w:top w:val="single" w:sz="2" w:space="0" w:color="000000"/>
              <w:left w:val="single" w:sz="2" w:space="0" w:color="000000"/>
              <w:bottom w:val="single" w:sz="2" w:space="0" w:color="000000"/>
              <w:right w:val="single" w:sz="2" w:space="0" w:color="000000"/>
            </w:tcBorders>
          </w:tcPr>
          <w:p w14:paraId="5B611D4C" w14:textId="77777777" w:rsidR="00D72E5B" w:rsidRPr="007454AA" w:rsidRDefault="00D72E5B" w:rsidP="00D72E5B">
            <w:pPr>
              <w:ind w:left="22"/>
              <w:rPr>
                <w:rFonts w:ascii="Times New Roman" w:hAnsi="Times New Roman" w:cs="Times New Roman"/>
                <w:sz w:val="20"/>
                <w:szCs w:val="20"/>
                <w:lang w:val="ro-RO"/>
              </w:rPr>
            </w:pPr>
            <w:r w:rsidRPr="007454AA">
              <w:rPr>
                <w:rFonts w:ascii="Times New Roman" w:hAnsi="Times New Roman" w:cs="Times New Roman"/>
                <w:sz w:val="20"/>
                <w:szCs w:val="20"/>
                <w:lang w:val="ro-RO"/>
              </w:rPr>
              <w:t>MICULA</w:t>
            </w:r>
          </w:p>
        </w:tc>
        <w:tc>
          <w:tcPr>
            <w:tcW w:w="2160" w:type="dxa"/>
            <w:tcBorders>
              <w:top w:val="single" w:sz="2" w:space="0" w:color="000000"/>
              <w:left w:val="single" w:sz="2" w:space="0" w:color="000000"/>
              <w:bottom w:val="single" w:sz="2" w:space="0" w:color="000000"/>
              <w:right w:val="single" w:sz="2" w:space="0" w:color="000000"/>
            </w:tcBorders>
          </w:tcPr>
          <w:p w14:paraId="37ADD8A8" w14:textId="77777777" w:rsidR="00D72E5B" w:rsidRPr="007454AA" w:rsidRDefault="00D72E5B" w:rsidP="00D72E5B">
            <w:pPr>
              <w:ind w:right="14"/>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5.000</w:t>
            </w:r>
          </w:p>
        </w:tc>
        <w:tc>
          <w:tcPr>
            <w:tcW w:w="2160" w:type="dxa"/>
            <w:tcBorders>
              <w:top w:val="single" w:sz="2" w:space="0" w:color="000000"/>
              <w:left w:val="single" w:sz="2" w:space="0" w:color="000000"/>
              <w:bottom w:val="single" w:sz="2" w:space="0" w:color="000000"/>
              <w:right w:val="single" w:sz="2" w:space="0" w:color="000000"/>
            </w:tcBorders>
          </w:tcPr>
          <w:p w14:paraId="235D7C06" w14:textId="77777777" w:rsidR="00D72E5B" w:rsidRPr="007454AA" w:rsidRDefault="00D72E5B" w:rsidP="00D72E5B">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4.000</w:t>
            </w:r>
          </w:p>
        </w:tc>
        <w:tc>
          <w:tcPr>
            <w:tcW w:w="2340" w:type="dxa"/>
            <w:tcBorders>
              <w:top w:val="single" w:sz="2" w:space="0" w:color="000000"/>
              <w:left w:val="single" w:sz="2" w:space="0" w:color="000000"/>
              <w:bottom w:val="single" w:sz="2" w:space="0" w:color="000000"/>
              <w:right w:val="single" w:sz="2" w:space="0" w:color="000000"/>
            </w:tcBorders>
          </w:tcPr>
          <w:p w14:paraId="546BC799" w14:textId="77777777" w:rsidR="00D72E5B" w:rsidRPr="007454AA" w:rsidRDefault="00D72E5B" w:rsidP="00D72E5B">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9.000</w:t>
            </w:r>
          </w:p>
        </w:tc>
      </w:tr>
      <w:tr w:rsidR="007454AA" w:rsidRPr="007454AA" w14:paraId="0DA09A82" w14:textId="77777777" w:rsidTr="00414221">
        <w:trPr>
          <w:trHeight w:val="319"/>
        </w:trPr>
        <w:tc>
          <w:tcPr>
            <w:tcW w:w="1382" w:type="dxa"/>
            <w:tcBorders>
              <w:top w:val="single" w:sz="2" w:space="0" w:color="000000"/>
              <w:left w:val="single" w:sz="2" w:space="0" w:color="000000"/>
              <w:bottom w:val="single" w:sz="2" w:space="0" w:color="000000"/>
              <w:right w:val="single" w:sz="2" w:space="0" w:color="000000"/>
            </w:tcBorders>
          </w:tcPr>
          <w:p w14:paraId="1A980641" w14:textId="77777777" w:rsidR="00D72E5B" w:rsidRPr="007454AA" w:rsidRDefault="00D72E5B" w:rsidP="00292ED5">
            <w:pPr>
              <w:ind w:left="84"/>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12</w:t>
            </w:r>
          </w:p>
        </w:tc>
        <w:tc>
          <w:tcPr>
            <w:tcW w:w="2488" w:type="dxa"/>
            <w:tcBorders>
              <w:top w:val="single" w:sz="2" w:space="0" w:color="000000"/>
              <w:left w:val="single" w:sz="2" w:space="0" w:color="000000"/>
              <w:bottom w:val="single" w:sz="2" w:space="0" w:color="000000"/>
              <w:right w:val="single" w:sz="2" w:space="0" w:color="000000"/>
            </w:tcBorders>
          </w:tcPr>
          <w:p w14:paraId="5534A3BC" w14:textId="77777777" w:rsidR="00D72E5B" w:rsidRPr="007454AA" w:rsidRDefault="00D72E5B" w:rsidP="00D72E5B">
            <w:pPr>
              <w:ind w:left="14"/>
              <w:rPr>
                <w:rFonts w:ascii="Times New Roman" w:hAnsi="Times New Roman" w:cs="Times New Roman"/>
                <w:sz w:val="20"/>
                <w:szCs w:val="20"/>
                <w:lang w:val="ro-RO"/>
              </w:rPr>
            </w:pPr>
            <w:r w:rsidRPr="007454AA">
              <w:rPr>
                <w:rFonts w:ascii="Times New Roman" w:hAnsi="Times New Roman" w:cs="Times New Roman"/>
                <w:sz w:val="20"/>
                <w:szCs w:val="20"/>
                <w:lang w:val="ro-RO"/>
              </w:rPr>
              <w:t>ODOREU</w:t>
            </w:r>
          </w:p>
        </w:tc>
        <w:tc>
          <w:tcPr>
            <w:tcW w:w="2160" w:type="dxa"/>
            <w:tcBorders>
              <w:top w:val="single" w:sz="2" w:space="0" w:color="000000"/>
              <w:left w:val="single" w:sz="2" w:space="0" w:color="000000"/>
              <w:bottom w:val="single" w:sz="2" w:space="0" w:color="000000"/>
              <w:right w:val="single" w:sz="2" w:space="0" w:color="000000"/>
            </w:tcBorders>
          </w:tcPr>
          <w:p w14:paraId="5F7A3F02" w14:textId="77777777" w:rsidR="00D72E5B" w:rsidRPr="007454AA" w:rsidRDefault="00D72E5B" w:rsidP="00D72E5B">
            <w:pPr>
              <w:ind w:right="14"/>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30.000</w:t>
            </w:r>
          </w:p>
        </w:tc>
        <w:tc>
          <w:tcPr>
            <w:tcW w:w="2160" w:type="dxa"/>
            <w:tcBorders>
              <w:top w:val="single" w:sz="2" w:space="0" w:color="000000"/>
              <w:left w:val="single" w:sz="2" w:space="0" w:color="000000"/>
              <w:bottom w:val="single" w:sz="2" w:space="0" w:color="000000"/>
              <w:right w:val="single" w:sz="2" w:space="0" w:color="000000"/>
            </w:tcBorders>
          </w:tcPr>
          <w:p w14:paraId="6FD01627" w14:textId="77777777" w:rsidR="00D72E5B" w:rsidRPr="007454AA" w:rsidRDefault="00D72E5B" w:rsidP="00D72E5B">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20.000</w:t>
            </w:r>
          </w:p>
        </w:tc>
        <w:tc>
          <w:tcPr>
            <w:tcW w:w="2340" w:type="dxa"/>
            <w:tcBorders>
              <w:top w:val="single" w:sz="2" w:space="0" w:color="000000"/>
              <w:left w:val="single" w:sz="2" w:space="0" w:color="000000"/>
              <w:bottom w:val="single" w:sz="2" w:space="0" w:color="000000"/>
              <w:right w:val="single" w:sz="2" w:space="0" w:color="000000"/>
            </w:tcBorders>
          </w:tcPr>
          <w:p w14:paraId="1CEEBBA0" w14:textId="77777777" w:rsidR="00D72E5B" w:rsidRPr="007454AA" w:rsidRDefault="00D72E5B" w:rsidP="00D72E5B">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50.000</w:t>
            </w:r>
          </w:p>
        </w:tc>
      </w:tr>
      <w:tr w:rsidR="007454AA" w:rsidRPr="007454AA" w14:paraId="1D7C860A" w14:textId="77777777" w:rsidTr="00414221">
        <w:trPr>
          <w:trHeight w:val="331"/>
        </w:trPr>
        <w:tc>
          <w:tcPr>
            <w:tcW w:w="1382" w:type="dxa"/>
            <w:tcBorders>
              <w:top w:val="single" w:sz="2" w:space="0" w:color="000000"/>
              <w:left w:val="single" w:sz="2" w:space="0" w:color="000000"/>
              <w:bottom w:val="single" w:sz="2" w:space="0" w:color="000000"/>
              <w:right w:val="single" w:sz="2" w:space="0" w:color="000000"/>
            </w:tcBorders>
          </w:tcPr>
          <w:p w14:paraId="6554153C" w14:textId="77777777" w:rsidR="00D72E5B" w:rsidRPr="007454AA" w:rsidRDefault="00D72E5B" w:rsidP="00292ED5">
            <w:pPr>
              <w:ind w:left="14"/>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13</w:t>
            </w:r>
          </w:p>
        </w:tc>
        <w:tc>
          <w:tcPr>
            <w:tcW w:w="2488" w:type="dxa"/>
            <w:tcBorders>
              <w:top w:val="single" w:sz="2" w:space="0" w:color="000000"/>
              <w:left w:val="single" w:sz="2" w:space="0" w:color="000000"/>
              <w:bottom w:val="single" w:sz="2" w:space="0" w:color="000000"/>
              <w:right w:val="single" w:sz="2" w:space="0" w:color="000000"/>
            </w:tcBorders>
          </w:tcPr>
          <w:p w14:paraId="65BF9ED9" w14:textId="77777777" w:rsidR="00D72E5B" w:rsidRPr="007454AA" w:rsidRDefault="00D72E5B" w:rsidP="00D72E5B">
            <w:pPr>
              <w:ind w:left="22"/>
              <w:rPr>
                <w:rFonts w:ascii="Times New Roman" w:hAnsi="Times New Roman" w:cs="Times New Roman"/>
                <w:sz w:val="20"/>
                <w:szCs w:val="20"/>
                <w:lang w:val="ro-RO"/>
              </w:rPr>
            </w:pPr>
            <w:r w:rsidRPr="007454AA">
              <w:rPr>
                <w:rFonts w:ascii="Times New Roman" w:hAnsi="Times New Roman" w:cs="Times New Roman"/>
                <w:sz w:val="20"/>
                <w:szCs w:val="20"/>
                <w:lang w:val="ro-RO"/>
              </w:rPr>
              <w:t>PĂULEȘTI</w:t>
            </w:r>
          </w:p>
        </w:tc>
        <w:tc>
          <w:tcPr>
            <w:tcW w:w="2160" w:type="dxa"/>
            <w:tcBorders>
              <w:top w:val="single" w:sz="2" w:space="0" w:color="000000"/>
              <w:left w:val="single" w:sz="2" w:space="0" w:color="000000"/>
              <w:bottom w:val="single" w:sz="2" w:space="0" w:color="000000"/>
              <w:right w:val="single" w:sz="2" w:space="0" w:color="000000"/>
            </w:tcBorders>
          </w:tcPr>
          <w:p w14:paraId="033DD4EF" w14:textId="77777777" w:rsidR="00D72E5B" w:rsidRPr="007454AA" w:rsidRDefault="00D72E5B" w:rsidP="00D72E5B">
            <w:pPr>
              <w:ind w:right="14"/>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25.000</w:t>
            </w:r>
          </w:p>
        </w:tc>
        <w:tc>
          <w:tcPr>
            <w:tcW w:w="2160" w:type="dxa"/>
            <w:tcBorders>
              <w:top w:val="single" w:sz="2" w:space="0" w:color="000000"/>
              <w:left w:val="single" w:sz="2" w:space="0" w:color="000000"/>
              <w:bottom w:val="single" w:sz="2" w:space="0" w:color="000000"/>
              <w:right w:val="single" w:sz="2" w:space="0" w:color="000000"/>
            </w:tcBorders>
          </w:tcPr>
          <w:p w14:paraId="761E9017" w14:textId="77777777" w:rsidR="00D72E5B" w:rsidRPr="007454AA" w:rsidRDefault="00D72E5B" w:rsidP="00D72E5B">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20.000</w:t>
            </w:r>
          </w:p>
        </w:tc>
        <w:tc>
          <w:tcPr>
            <w:tcW w:w="2340" w:type="dxa"/>
            <w:tcBorders>
              <w:top w:val="single" w:sz="2" w:space="0" w:color="000000"/>
              <w:left w:val="single" w:sz="2" w:space="0" w:color="000000"/>
              <w:bottom w:val="single" w:sz="2" w:space="0" w:color="000000"/>
              <w:right w:val="single" w:sz="2" w:space="0" w:color="000000"/>
            </w:tcBorders>
          </w:tcPr>
          <w:p w14:paraId="0D8AB633" w14:textId="77777777" w:rsidR="00D72E5B" w:rsidRPr="007454AA" w:rsidRDefault="00D72E5B" w:rsidP="00D72E5B">
            <w:pPr>
              <w:ind w:right="1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45.000</w:t>
            </w:r>
          </w:p>
        </w:tc>
      </w:tr>
      <w:tr w:rsidR="007454AA" w:rsidRPr="007454AA" w14:paraId="2AB8FF66" w14:textId="77777777" w:rsidTr="00414221">
        <w:trPr>
          <w:trHeight w:val="324"/>
        </w:trPr>
        <w:tc>
          <w:tcPr>
            <w:tcW w:w="1382" w:type="dxa"/>
            <w:tcBorders>
              <w:top w:val="single" w:sz="2" w:space="0" w:color="000000"/>
              <w:left w:val="single" w:sz="2" w:space="0" w:color="000000"/>
              <w:bottom w:val="single" w:sz="2" w:space="0" w:color="000000"/>
              <w:right w:val="single" w:sz="2" w:space="0" w:color="000000"/>
            </w:tcBorders>
          </w:tcPr>
          <w:p w14:paraId="4D2EFA5C" w14:textId="77777777" w:rsidR="00D72E5B" w:rsidRPr="007454AA" w:rsidRDefault="00D72E5B" w:rsidP="00292ED5">
            <w:pPr>
              <w:ind w:left="22"/>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14</w:t>
            </w:r>
          </w:p>
        </w:tc>
        <w:tc>
          <w:tcPr>
            <w:tcW w:w="2488" w:type="dxa"/>
            <w:tcBorders>
              <w:top w:val="single" w:sz="2" w:space="0" w:color="000000"/>
              <w:left w:val="single" w:sz="2" w:space="0" w:color="000000"/>
              <w:bottom w:val="single" w:sz="2" w:space="0" w:color="000000"/>
              <w:right w:val="single" w:sz="2" w:space="0" w:color="000000"/>
            </w:tcBorders>
          </w:tcPr>
          <w:p w14:paraId="1E477543" w14:textId="77777777" w:rsidR="00D72E5B" w:rsidRPr="007454AA" w:rsidRDefault="00D72E5B" w:rsidP="00D72E5B">
            <w:pPr>
              <w:ind w:left="14"/>
              <w:rPr>
                <w:rFonts w:ascii="Times New Roman" w:hAnsi="Times New Roman" w:cs="Times New Roman"/>
                <w:sz w:val="20"/>
                <w:szCs w:val="20"/>
                <w:lang w:val="ro-RO"/>
              </w:rPr>
            </w:pPr>
            <w:r w:rsidRPr="007454AA">
              <w:rPr>
                <w:rFonts w:ascii="Times New Roman" w:hAnsi="Times New Roman" w:cs="Times New Roman"/>
                <w:sz w:val="20"/>
                <w:szCs w:val="20"/>
                <w:lang w:val="ro-RO"/>
              </w:rPr>
              <w:t>VETIȘ</w:t>
            </w:r>
          </w:p>
        </w:tc>
        <w:tc>
          <w:tcPr>
            <w:tcW w:w="2160" w:type="dxa"/>
            <w:tcBorders>
              <w:top w:val="single" w:sz="2" w:space="0" w:color="000000"/>
              <w:left w:val="single" w:sz="2" w:space="0" w:color="000000"/>
              <w:bottom w:val="single" w:sz="2" w:space="0" w:color="000000"/>
              <w:right w:val="single" w:sz="2" w:space="0" w:color="000000"/>
            </w:tcBorders>
          </w:tcPr>
          <w:p w14:paraId="366A5D03" w14:textId="77777777" w:rsidR="00D72E5B" w:rsidRPr="007454AA" w:rsidRDefault="00D72E5B" w:rsidP="00D72E5B">
            <w:pPr>
              <w:ind w:right="7"/>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18.000</w:t>
            </w:r>
          </w:p>
        </w:tc>
        <w:tc>
          <w:tcPr>
            <w:tcW w:w="2160" w:type="dxa"/>
            <w:tcBorders>
              <w:top w:val="single" w:sz="2" w:space="0" w:color="000000"/>
              <w:left w:val="single" w:sz="2" w:space="0" w:color="000000"/>
              <w:bottom w:val="single" w:sz="2" w:space="0" w:color="000000"/>
              <w:right w:val="single" w:sz="2" w:space="0" w:color="000000"/>
            </w:tcBorders>
          </w:tcPr>
          <w:p w14:paraId="297F157B" w14:textId="77777777" w:rsidR="00D72E5B" w:rsidRPr="007454AA" w:rsidRDefault="00D72E5B" w:rsidP="00D72E5B">
            <w:pPr>
              <w:ind w:right="1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11.000</w:t>
            </w:r>
          </w:p>
        </w:tc>
        <w:tc>
          <w:tcPr>
            <w:tcW w:w="2340" w:type="dxa"/>
            <w:tcBorders>
              <w:top w:val="single" w:sz="2" w:space="0" w:color="000000"/>
              <w:left w:val="single" w:sz="2" w:space="0" w:color="000000"/>
              <w:bottom w:val="single" w:sz="2" w:space="0" w:color="000000"/>
              <w:right w:val="single" w:sz="2" w:space="0" w:color="000000"/>
            </w:tcBorders>
          </w:tcPr>
          <w:p w14:paraId="0B67DDEA" w14:textId="77777777" w:rsidR="00D72E5B" w:rsidRPr="007454AA" w:rsidRDefault="00D72E5B" w:rsidP="00D72E5B">
            <w:pPr>
              <w:ind w:right="1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29.000</w:t>
            </w:r>
          </w:p>
        </w:tc>
      </w:tr>
      <w:tr w:rsidR="007454AA" w:rsidRPr="007454AA" w14:paraId="2108FC52" w14:textId="77777777" w:rsidTr="00414221">
        <w:trPr>
          <w:trHeight w:val="324"/>
        </w:trPr>
        <w:tc>
          <w:tcPr>
            <w:tcW w:w="1382" w:type="dxa"/>
            <w:tcBorders>
              <w:top w:val="single" w:sz="2" w:space="0" w:color="000000"/>
              <w:left w:val="single" w:sz="2" w:space="0" w:color="000000"/>
              <w:bottom w:val="single" w:sz="2" w:space="0" w:color="000000"/>
              <w:right w:val="single" w:sz="2" w:space="0" w:color="000000"/>
            </w:tcBorders>
          </w:tcPr>
          <w:p w14:paraId="162AB809" w14:textId="77777777" w:rsidR="00D72E5B" w:rsidRPr="007454AA" w:rsidRDefault="00D72E5B" w:rsidP="00292ED5">
            <w:pPr>
              <w:ind w:left="14"/>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15</w:t>
            </w:r>
          </w:p>
        </w:tc>
        <w:tc>
          <w:tcPr>
            <w:tcW w:w="2488" w:type="dxa"/>
            <w:tcBorders>
              <w:top w:val="single" w:sz="2" w:space="0" w:color="000000"/>
              <w:left w:val="single" w:sz="2" w:space="0" w:color="000000"/>
              <w:bottom w:val="single" w:sz="2" w:space="0" w:color="000000"/>
              <w:right w:val="single" w:sz="2" w:space="0" w:color="000000"/>
            </w:tcBorders>
          </w:tcPr>
          <w:p w14:paraId="7FE2EBC9" w14:textId="77777777" w:rsidR="00D72E5B" w:rsidRPr="007454AA" w:rsidRDefault="00D72E5B" w:rsidP="00D72E5B">
            <w:pPr>
              <w:ind w:left="29"/>
              <w:rPr>
                <w:rFonts w:ascii="Times New Roman" w:hAnsi="Times New Roman" w:cs="Times New Roman"/>
                <w:sz w:val="20"/>
                <w:szCs w:val="20"/>
                <w:lang w:val="ro-RO"/>
              </w:rPr>
            </w:pPr>
            <w:r w:rsidRPr="007454AA">
              <w:rPr>
                <w:rFonts w:ascii="Times New Roman" w:hAnsi="Times New Roman" w:cs="Times New Roman"/>
                <w:sz w:val="20"/>
                <w:szCs w:val="20"/>
                <w:lang w:val="ro-RO"/>
              </w:rPr>
              <w:t>BERVENI</w:t>
            </w:r>
          </w:p>
        </w:tc>
        <w:tc>
          <w:tcPr>
            <w:tcW w:w="2160" w:type="dxa"/>
            <w:tcBorders>
              <w:top w:val="single" w:sz="2" w:space="0" w:color="000000"/>
              <w:left w:val="single" w:sz="2" w:space="0" w:color="000000"/>
              <w:bottom w:val="single" w:sz="2" w:space="0" w:color="000000"/>
              <w:right w:val="single" w:sz="2" w:space="0" w:color="000000"/>
            </w:tcBorders>
          </w:tcPr>
          <w:p w14:paraId="3F7C78E7" w14:textId="77777777" w:rsidR="00D72E5B" w:rsidRPr="007454AA" w:rsidRDefault="00D72E5B" w:rsidP="00D72E5B">
            <w:pPr>
              <w:ind w:right="7"/>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6.000</w:t>
            </w:r>
          </w:p>
        </w:tc>
        <w:tc>
          <w:tcPr>
            <w:tcW w:w="2160" w:type="dxa"/>
            <w:tcBorders>
              <w:top w:val="single" w:sz="2" w:space="0" w:color="000000"/>
              <w:left w:val="single" w:sz="2" w:space="0" w:color="000000"/>
              <w:bottom w:val="single" w:sz="2" w:space="0" w:color="000000"/>
              <w:right w:val="single" w:sz="2" w:space="0" w:color="000000"/>
            </w:tcBorders>
          </w:tcPr>
          <w:p w14:paraId="25370B90" w14:textId="77777777" w:rsidR="00D72E5B" w:rsidRPr="007454AA" w:rsidRDefault="00D72E5B" w:rsidP="00D72E5B">
            <w:pPr>
              <w:ind w:right="1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4BC35E64" w14:textId="77777777" w:rsidR="00D72E5B" w:rsidRPr="007454AA" w:rsidRDefault="00D72E5B" w:rsidP="00D72E5B">
            <w:pPr>
              <w:ind w:right="1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6.500</w:t>
            </w:r>
          </w:p>
        </w:tc>
      </w:tr>
      <w:tr w:rsidR="007454AA" w:rsidRPr="007454AA" w14:paraId="726368F4" w14:textId="77777777" w:rsidTr="00414221">
        <w:trPr>
          <w:trHeight w:val="324"/>
        </w:trPr>
        <w:tc>
          <w:tcPr>
            <w:tcW w:w="1382" w:type="dxa"/>
            <w:tcBorders>
              <w:top w:val="single" w:sz="2" w:space="0" w:color="000000"/>
              <w:left w:val="single" w:sz="2" w:space="0" w:color="000000"/>
              <w:bottom w:val="single" w:sz="2" w:space="0" w:color="000000"/>
              <w:right w:val="single" w:sz="2" w:space="0" w:color="000000"/>
            </w:tcBorders>
          </w:tcPr>
          <w:p w14:paraId="70C48F08" w14:textId="77777777" w:rsidR="00D72E5B" w:rsidRPr="007454AA" w:rsidRDefault="00D72E5B" w:rsidP="00292ED5">
            <w:pPr>
              <w:ind w:left="22"/>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16</w:t>
            </w:r>
          </w:p>
        </w:tc>
        <w:tc>
          <w:tcPr>
            <w:tcW w:w="2488" w:type="dxa"/>
            <w:tcBorders>
              <w:top w:val="single" w:sz="2" w:space="0" w:color="000000"/>
              <w:left w:val="single" w:sz="2" w:space="0" w:color="000000"/>
              <w:bottom w:val="single" w:sz="2" w:space="0" w:color="000000"/>
              <w:right w:val="single" w:sz="2" w:space="0" w:color="000000"/>
            </w:tcBorders>
          </w:tcPr>
          <w:p w14:paraId="3FB01D6B" w14:textId="77777777" w:rsidR="00D72E5B" w:rsidRPr="007454AA" w:rsidRDefault="00D72E5B" w:rsidP="00D72E5B">
            <w:pPr>
              <w:ind w:left="29"/>
              <w:rPr>
                <w:rFonts w:ascii="Times New Roman" w:hAnsi="Times New Roman" w:cs="Times New Roman"/>
                <w:sz w:val="20"/>
                <w:szCs w:val="20"/>
                <w:lang w:val="ro-RO"/>
              </w:rPr>
            </w:pPr>
            <w:r w:rsidRPr="007454AA">
              <w:rPr>
                <w:rFonts w:ascii="Times New Roman" w:hAnsi="Times New Roman" w:cs="Times New Roman"/>
                <w:sz w:val="20"/>
                <w:szCs w:val="20"/>
                <w:lang w:val="ro-RO"/>
              </w:rPr>
              <w:t>DOBA</w:t>
            </w:r>
          </w:p>
        </w:tc>
        <w:tc>
          <w:tcPr>
            <w:tcW w:w="2160" w:type="dxa"/>
            <w:tcBorders>
              <w:top w:val="single" w:sz="2" w:space="0" w:color="000000"/>
              <w:left w:val="single" w:sz="2" w:space="0" w:color="000000"/>
              <w:bottom w:val="single" w:sz="2" w:space="0" w:color="000000"/>
              <w:right w:val="single" w:sz="2" w:space="0" w:color="000000"/>
            </w:tcBorders>
          </w:tcPr>
          <w:p w14:paraId="626560EB" w14:textId="77777777" w:rsidR="00D72E5B" w:rsidRPr="007454AA" w:rsidRDefault="00D72E5B" w:rsidP="00D72E5B">
            <w:pPr>
              <w:ind w:right="7"/>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10.000</w:t>
            </w:r>
          </w:p>
        </w:tc>
        <w:tc>
          <w:tcPr>
            <w:tcW w:w="2160" w:type="dxa"/>
            <w:tcBorders>
              <w:top w:val="single" w:sz="2" w:space="0" w:color="000000"/>
              <w:left w:val="single" w:sz="2" w:space="0" w:color="000000"/>
              <w:bottom w:val="single" w:sz="2" w:space="0" w:color="000000"/>
              <w:right w:val="single" w:sz="2" w:space="0" w:color="000000"/>
            </w:tcBorders>
          </w:tcPr>
          <w:p w14:paraId="66440969" w14:textId="77777777" w:rsidR="00D72E5B" w:rsidRPr="007454AA" w:rsidRDefault="00D72E5B" w:rsidP="00D72E5B">
            <w:pPr>
              <w:ind w:right="1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5B29EC84" w14:textId="77777777" w:rsidR="00D72E5B" w:rsidRPr="007454AA" w:rsidRDefault="00D72E5B" w:rsidP="00D72E5B">
            <w:pPr>
              <w:ind w:right="1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10.500</w:t>
            </w:r>
          </w:p>
        </w:tc>
      </w:tr>
      <w:tr w:rsidR="007454AA" w:rsidRPr="007454AA" w14:paraId="0948184E" w14:textId="77777777" w:rsidTr="00414221">
        <w:trPr>
          <w:trHeight w:val="324"/>
        </w:trPr>
        <w:tc>
          <w:tcPr>
            <w:tcW w:w="1382" w:type="dxa"/>
            <w:tcBorders>
              <w:top w:val="single" w:sz="2" w:space="0" w:color="000000"/>
              <w:left w:val="single" w:sz="2" w:space="0" w:color="000000"/>
              <w:bottom w:val="single" w:sz="2" w:space="0" w:color="000000"/>
              <w:right w:val="single" w:sz="2" w:space="0" w:color="000000"/>
            </w:tcBorders>
          </w:tcPr>
          <w:p w14:paraId="61F62F23" w14:textId="26A5FC33" w:rsidR="00D72E5B" w:rsidRPr="007454AA" w:rsidRDefault="00D72E5B" w:rsidP="00292ED5">
            <w:pPr>
              <w:ind w:left="22"/>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17</w:t>
            </w:r>
          </w:p>
        </w:tc>
        <w:tc>
          <w:tcPr>
            <w:tcW w:w="2488" w:type="dxa"/>
            <w:tcBorders>
              <w:top w:val="single" w:sz="2" w:space="0" w:color="000000"/>
              <w:left w:val="single" w:sz="2" w:space="0" w:color="000000"/>
              <w:bottom w:val="single" w:sz="2" w:space="0" w:color="000000"/>
              <w:right w:val="single" w:sz="2" w:space="0" w:color="000000"/>
            </w:tcBorders>
          </w:tcPr>
          <w:p w14:paraId="3C7B312D" w14:textId="48C8E893" w:rsidR="00D72E5B" w:rsidRPr="007454AA" w:rsidRDefault="00D72E5B" w:rsidP="00D72E5B">
            <w:pPr>
              <w:ind w:left="29"/>
              <w:rPr>
                <w:rFonts w:ascii="Times New Roman" w:hAnsi="Times New Roman" w:cs="Times New Roman"/>
                <w:sz w:val="20"/>
                <w:szCs w:val="20"/>
                <w:lang w:val="ro-RO"/>
              </w:rPr>
            </w:pPr>
            <w:r w:rsidRPr="007454AA">
              <w:rPr>
                <w:rFonts w:ascii="Times New Roman" w:hAnsi="Times New Roman" w:cs="Times New Roman"/>
                <w:sz w:val="20"/>
                <w:szCs w:val="20"/>
                <w:lang w:val="ro-RO"/>
              </w:rPr>
              <w:t>MOFTIN</w:t>
            </w:r>
          </w:p>
        </w:tc>
        <w:tc>
          <w:tcPr>
            <w:tcW w:w="2160" w:type="dxa"/>
            <w:tcBorders>
              <w:top w:val="single" w:sz="2" w:space="0" w:color="000000"/>
              <w:left w:val="single" w:sz="2" w:space="0" w:color="000000"/>
              <w:bottom w:val="single" w:sz="2" w:space="0" w:color="000000"/>
              <w:right w:val="single" w:sz="2" w:space="0" w:color="000000"/>
            </w:tcBorders>
          </w:tcPr>
          <w:p w14:paraId="5D1A4E8F" w14:textId="5E8F2425" w:rsidR="00D72E5B" w:rsidRPr="007454AA" w:rsidRDefault="00D72E5B" w:rsidP="00D72E5B">
            <w:pPr>
              <w:ind w:right="7"/>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14.000</w:t>
            </w:r>
          </w:p>
        </w:tc>
        <w:tc>
          <w:tcPr>
            <w:tcW w:w="2160" w:type="dxa"/>
            <w:tcBorders>
              <w:top w:val="single" w:sz="2" w:space="0" w:color="000000"/>
              <w:left w:val="single" w:sz="2" w:space="0" w:color="000000"/>
              <w:bottom w:val="single" w:sz="2" w:space="0" w:color="000000"/>
              <w:right w:val="single" w:sz="2" w:space="0" w:color="000000"/>
            </w:tcBorders>
          </w:tcPr>
          <w:p w14:paraId="55449B2A" w14:textId="346A89FE" w:rsidR="00D72E5B" w:rsidRPr="007454AA" w:rsidRDefault="00D72E5B" w:rsidP="00D72E5B">
            <w:pPr>
              <w:ind w:right="1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44018495" w14:textId="763C93FC" w:rsidR="00D72E5B" w:rsidRPr="007454AA" w:rsidRDefault="00D72E5B" w:rsidP="00D72E5B">
            <w:pPr>
              <w:ind w:right="1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14.500</w:t>
            </w:r>
          </w:p>
        </w:tc>
      </w:tr>
      <w:tr w:rsidR="007454AA" w:rsidRPr="007454AA" w14:paraId="21769789" w14:textId="77777777" w:rsidTr="00414221">
        <w:trPr>
          <w:trHeight w:val="324"/>
        </w:trPr>
        <w:tc>
          <w:tcPr>
            <w:tcW w:w="1382" w:type="dxa"/>
            <w:tcBorders>
              <w:top w:val="single" w:sz="2" w:space="0" w:color="000000"/>
              <w:left w:val="single" w:sz="2" w:space="0" w:color="000000"/>
              <w:bottom w:val="single" w:sz="2" w:space="0" w:color="000000"/>
              <w:right w:val="single" w:sz="2" w:space="0" w:color="000000"/>
            </w:tcBorders>
          </w:tcPr>
          <w:p w14:paraId="36DFA3EE" w14:textId="0D062C07" w:rsidR="00D72E5B" w:rsidRPr="007454AA" w:rsidRDefault="00D72E5B" w:rsidP="00292ED5">
            <w:pPr>
              <w:ind w:left="22"/>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18</w:t>
            </w:r>
          </w:p>
        </w:tc>
        <w:tc>
          <w:tcPr>
            <w:tcW w:w="2488" w:type="dxa"/>
            <w:tcBorders>
              <w:top w:val="single" w:sz="2" w:space="0" w:color="000000"/>
              <w:left w:val="single" w:sz="2" w:space="0" w:color="000000"/>
              <w:bottom w:val="single" w:sz="2" w:space="0" w:color="000000"/>
              <w:right w:val="single" w:sz="2" w:space="0" w:color="000000"/>
            </w:tcBorders>
          </w:tcPr>
          <w:p w14:paraId="3CA0A2F3" w14:textId="40D3B739" w:rsidR="00D72E5B" w:rsidRPr="007454AA" w:rsidRDefault="00D72E5B" w:rsidP="00D72E5B">
            <w:pPr>
              <w:ind w:left="29"/>
              <w:rPr>
                <w:rFonts w:ascii="Times New Roman" w:hAnsi="Times New Roman" w:cs="Times New Roman"/>
                <w:sz w:val="20"/>
                <w:szCs w:val="20"/>
                <w:lang w:val="ro-RO"/>
              </w:rPr>
            </w:pPr>
            <w:r w:rsidRPr="007454AA">
              <w:rPr>
                <w:rFonts w:ascii="Times New Roman" w:hAnsi="Times New Roman" w:cs="Times New Roman"/>
                <w:sz w:val="20"/>
                <w:szCs w:val="20"/>
                <w:lang w:val="ro-RO"/>
              </w:rPr>
              <w:t>URZICENI</w:t>
            </w:r>
          </w:p>
        </w:tc>
        <w:tc>
          <w:tcPr>
            <w:tcW w:w="2160" w:type="dxa"/>
            <w:tcBorders>
              <w:top w:val="single" w:sz="2" w:space="0" w:color="000000"/>
              <w:left w:val="single" w:sz="2" w:space="0" w:color="000000"/>
              <w:bottom w:val="single" w:sz="2" w:space="0" w:color="000000"/>
              <w:right w:val="single" w:sz="2" w:space="0" w:color="000000"/>
            </w:tcBorders>
          </w:tcPr>
          <w:p w14:paraId="79982023" w14:textId="1528E5C5" w:rsidR="00D72E5B" w:rsidRPr="007454AA" w:rsidRDefault="00D72E5B" w:rsidP="00D72E5B">
            <w:pPr>
              <w:ind w:right="7"/>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5.500</w:t>
            </w:r>
          </w:p>
        </w:tc>
        <w:tc>
          <w:tcPr>
            <w:tcW w:w="2160" w:type="dxa"/>
            <w:tcBorders>
              <w:top w:val="single" w:sz="2" w:space="0" w:color="000000"/>
              <w:left w:val="single" w:sz="2" w:space="0" w:color="000000"/>
              <w:bottom w:val="single" w:sz="2" w:space="0" w:color="000000"/>
              <w:right w:val="single" w:sz="2" w:space="0" w:color="000000"/>
            </w:tcBorders>
          </w:tcPr>
          <w:p w14:paraId="5C15D314" w14:textId="5D0364CC" w:rsidR="00D72E5B" w:rsidRPr="007454AA" w:rsidRDefault="00D72E5B" w:rsidP="00D72E5B">
            <w:pPr>
              <w:ind w:right="1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4C4F838D" w14:textId="663EC2B8" w:rsidR="00D72E5B" w:rsidRPr="007454AA" w:rsidRDefault="00D72E5B" w:rsidP="00D72E5B">
            <w:pPr>
              <w:ind w:right="1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6.000</w:t>
            </w:r>
          </w:p>
        </w:tc>
      </w:tr>
      <w:tr w:rsidR="007454AA" w:rsidRPr="007454AA" w14:paraId="15C30637" w14:textId="77777777" w:rsidTr="00414221">
        <w:trPr>
          <w:trHeight w:val="324"/>
        </w:trPr>
        <w:tc>
          <w:tcPr>
            <w:tcW w:w="1382" w:type="dxa"/>
            <w:tcBorders>
              <w:top w:val="single" w:sz="2" w:space="0" w:color="000000"/>
              <w:left w:val="single" w:sz="2" w:space="0" w:color="000000"/>
              <w:bottom w:val="single" w:sz="2" w:space="0" w:color="000000"/>
              <w:right w:val="single" w:sz="2" w:space="0" w:color="000000"/>
            </w:tcBorders>
          </w:tcPr>
          <w:p w14:paraId="5E216F6E" w14:textId="10C0FA2B" w:rsidR="00D72E5B" w:rsidRPr="007454AA" w:rsidRDefault="00D72E5B" w:rsidP="00292ED5">
            <w:pPr>
              <w:ind w:left="22"/>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19</w:t>
            </w:r>
          </w:p>
        </w:tc>
        <w:tc>
          <w:tcPr>
            <w:tcW w:w="2488" w:type="dxa"/>
            <w:tcBorders>
              <w:top w:val="single" w:sz="2" w:space="0" w:color="000000"/>
              <w:left w:val="single" w:sz="2" w:space="0" w:color="000000"/>
              <w:bottom w:val="single" w:sz="2" w:space="0" w:color="000000"/>
              <w:right w:val="single" w:sz="2" w:space="0" w:color="000000"/>
            </w:tcBorders>
          </w:tcPr>
          <w:p w14:paraId="43BCABE0" w14:textId="5649F79F" w:rsidR="00D72E5B" w:rsidRPr="007454AA" w:rsidRDefault="00D72E5B" w:rsidP="00D72E5B">
            <w:pPr>
              <w:ind w:left="29"/>
              <w:rPr>
                <w:rFonts w:ascii="Times New Roman" w:hAnsi="Times New Roman" w:cs="Times New Roman"/>
                <w:sz w:val="20"/>
                <w:szCs w:val="20"/>
                <w:lang w:val="ro-RO"/>
              </w:rPr>
            </w:pPr>
            <w:r w:rsidRPr="007454AA">
              <w:rPr>
                <w:rFonts w:ascii="Times New Roman" w:hAnsi="Times New Roman" w:cs="Times New Roman"/>
                <w:sz w:val="20"/>
                <w:szCs w:val="20"/>
                <w:lang w:val="ro-RO"/>
              </w:rPr>
              <w:t>CRAIDOROLȚ</w:t>
            </w:r>
          </w:p>
        </w:tc>
        <w:tc>
          <w:tcPr>
            <w:tcW w:w="2160" w:type="dxa"/>
            <w:tcBorders>
              <w:top w:val="single" w:sz="2" w:space="0" w:color="000000"/>
              <w:left w:val="single" w:sz="2" w:space="0" w:color="000000"/>
              <w:bottom w:val="single" w:sz="2" w:space="0" w:color="000000"/>
              <w:right w:val="single" w:sz="2" w:space="0" w:color="000000"/>
            </w:tcBorders>
          </w:tcPr>
          <w:p w14:paraId="381A784F" w14:textId="6EAD6AD9" w:rsidR="00D72E5B" w:rsidRPr="007454AA" w:rsidRDefault="00D72E5B" w:rsidP="00D72E5B">
            <w:pPr>
              <w:ind w:right="7"/>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2.500</w:t>
            </w:r>
          </w:p>
        </w:tc>
        <w:tc>
          <w:tcPr>
            <w:tcW w:w="2160" w:type="dxa"/>
            <w:tcBorders>
              <w:top w:val="single" w:sz="2" w:space="0" w:color="000000"/>
              <w:left w:val="single" w:sz="2" w:space="0" w:color="000000"/>
              <w:bottom w:val="single" w:sz="2" w:space="0" w:color="000000"/>
              <w:right w:val="single" w:sz="2" w:space="0" w:color="000000"/>
            </w:tcBorders>
          </w:tcPr>
          <w:p w14:paraId="6A86308F" w14:textId="0DE8E9BE" w:rsidR="00D72E5B" w:rsidRPr="007454AA" w:rsidRDefault="00D72E5B" w:rsidP="00D72E5B">
            <w:pPr>
              <w:ind w:right="1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3901D131" w14:textId="3B5BC882" w:rsidR="00D72E5B" w:rsidRPr="007454AA" w:rsidRDefault="00D72E5B" w:rsidP="00D72E5B">
            <w:pPr>
              <w:ind w:right="1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3.000</w:t>
            </w:r>
          </w:p>
        </w:tc>
      </w:tr>
    </w:tbl>
    <w:tbl>
      <w:tblPr>
        <w:tblStyle w:val="TableGrid2"/>
        <w:tblW w:w="10530" w:type="dxa"/>
        <w:tblInd w:w="87" w:type="dxa"/>
        <w:tblCellMar>
          <w:top w:w="39" w:type="dxa"/>
          <w:left w:w="96" w:type="dxa"/>
          <w:right w:w="91" w:type="dxa"/>
        </w:tblCellMar>
        <w:tblLook w:val="04A0" w:firstRow="1" w:lastRow="0" w:firstColumn="1" w:lastColumn="0" w:noHBand="0" w:noVBand="1"/>
      </w:tblPr>
      <w:tblGrid>
        <w:gridCol w:w="1377"/>
        <w:gridCol w:w="2493"/>
        <w:gridCol w:w="2160"/>
        <w:gridCol w:w="2160"/>
        <w:gridCol w:w="2340"/>
      </w:tblGrid>
      <w:tr w:rsidR="007454AA" w:rsidRPr="007454AA" w14:paraId="519EDE4E" w14:textId="77777777" w:rsidTr="00414221">
        <w:trPr>
          <w:trHeight w:val="324"/>
        </w:trPr>
        <w:tc>
          <w:tcPr>
            <w:tcW w:w="1377" w:type="dxa"/>
            <w:tcBorders>
              <w:top w:val="single" w:sz="2" w:space="0" w:color="000000"/>
              <w:left w:val="single" w:sz="2" w:space="0" w:color="000000"/>
              <w:bottom w:val="single" w:sz="2" w:space="0" w:color="000000"/>
              <w:right w:val="single" w:sz="2" w:space="0" w:color="000000"/>
            </w:tcBorders>
          </w:tcPr>
          <w:p w14:paraId="107CC08D" w14:textId="77777777" w:rsidR="005E5C2F" w:rsidRPr="007454AA" w:rsidRDefault="005E5C2F" w:rsidP="00292ED5">
            <w:pPr>
              <w:ind w:left="65"/>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20</w:t>
            </w:r>
          </w:p>
        </w:tc>
        <w:tc>
          <w:tcPr>
            <w:tcW w:w="2493" w:type="dxa"/>
            <w:tcBorders>
              <w:top w:val="single" w:sz="2" w:space="0" w:color="000000"/>
              <w:left w:val="single" w:sz="2" w:space="0" w:color="000000"/>
              <w:bottom w:val="single" w:sz="2" w:space="0" w:color="000000"/>
              <w:right w:val="single" w:sz="2" w:space="0" w:color="000000"/>
            </w:tcBorders>
          </w:tcPr>
          <w:p w14:paraId="1CF39154" w14:textId="77777777" w:rsidR="005E5C2F" w:rsidRPr="007454AA" w:rsidRDefault="005E5C2F" w:rsidP="00770482">
            <w:pPr>
              <w:ind w:left="7"/>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CIUMEŞTI</w:t>
            </w:r>
          </w:p>
        </w:tc>
        <w:tc>
          <w:tcPr>
            <w:tcW w:w="2160" w:type="dxa"/>
            <w:tcBorders>
              <w:top w:val="single" w:sz="2" w:space="0" w:color="000000"/>
              <w:left w:val="single" w:sz="2" w:space="0" w:color="000000"/>
              <w:bottom w:val="single" w:sz="2" w:space="0" w:color="000000"/>
              <w:right w:val="single" w:sz="2" w:space="0" w:color="000000"/>
            </w:tcBorders>
          </w:tcPr>
          <w:p w14:paraId="471B0E85" w14:textId="77777777" w:rsidR="005E5C2F" w:rsidRPr="007454AA" w:rsidRDefault="005E5C2F" w:rsidP="00770482">
            <w:pPr>
              <w:ind w:right="36"/>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4.000</w:t>
            </w:r>
          </w:p>
        </w:tc>
        <w:tc>
          <w:tcPr>
            <w:tcW w:w="2160" w:type="dxa"/>
            <w:tcBorders>
              <w:top w:val="single" w:sz="2" w:space="0" w:color="000000"/>
              <w:left w:val="single" w:sz="2" w:space="0" w:color="000000"/>
              <w:bottom w:val="single" w:sz="2" w:space="0" w:color="000000"/>
              <w:right w:val="single" w:sz="2" w:space="0" w:color="000000"/>
            </w:tcBorders>
          </w:tcPr>
          <w:p w14:paraId="7408D756" w14:textId="77777777" w:rsidR="005E5C2F" w:rsidRPr="007454AA" w:rsidRDefault="005E5C2F" w:rsidP="00770482">
            <w:pPr>
              <w:ind w:right="36"/>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3.500</w:t>
            </w:r>
          </w:p>
        </w:tc>
        <w:tc>
          <w:tcPr>
            <w:tcW w:w="2340" w:type="dxa"/>
            <w:tcBorders>
              <w:top w:val="single" w:sz="2" w:space="0" w:color="000000"/>
              <w:left w:val="single" w:sz="2" w:space="0" w:color="000000"/>
              <w:bottom w:val="single" w:sz="2" w:space="0" w:color="000000"/>
              <w:right w:val="single" w:sz="2" w:space="0" w:color="000000"/>
            </w:tcBorders>
          </w:tcPr>
          <w:p w14:paraId="1239E1FA" w14:textId="77777777" w:rsidR="005E5C2F" w:rsidRPr="007454AA" w:rsidRDefault="005E5C2F" w:rsidP="00770482">
            <w:pPr>
              <w:ind w:right="36"/>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7.500</w:t>
            </w:r>
          </w:p>
        </w:tc>
      </w:tr>
      <w:tr w:rsidR="007454AA" w:rsidRPr="007454AA" w14:paraId="49074C22" w14:textId="77777777" w:rsidTr="00414221">
        <w:trPr>
          <w:trHeight w:val="324"/>
        </w:trPr>
        <w:tc>
          <w:tcPr>
            <w:tcW w:w="1377" w:type="dxa"/>
            <w:tcBorders>
              <w:top w:val="single" w:sz="2" w:space="0" w:color="000000"/>
              <w:left w:val="single" w:sz="2" w:space="0" w:color="000000"/>
              <w:bottom w:val="single" w:sz="2" w:space="0" w:color="000000"/>
              <w:right w:val="single" w:sz="2" w:space="0" w:color="000000"/>
            </w:tcBorders>
          </w:tcPr>
          <w:p w14:paraId="56C32FCD" w14:textId="77777777" w:rsidR="005E5C2F" w:rsidRPr="007454AA" w:rsidRDefault="005E5C2F" w:rsidP="00292ED5">
            <w:pPr>
              <w:ind w:left="72"/>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21</w:t>
            </w:r>
          </w:p>
        </w:tc>
        <w:tc>
          <w:tcPr>
            <w:tcW w:w="2493" w:type="dxa"/>
            <w:tcBorders>
              <w:top w:val="single" w:sz="2" w:space="0" w:color="000000"/>
              <w:left w:val="single" w:sz="2" w:space="0" w:color="000000"/>
              <w:bottom w:val="single" w:sz="2" w:space="0" w:color="000000"/>
              <w:right w:val="single" w:sz="2" w:space="0" w:color="000000"/>
            </w:tcBorders>
          </w:tcPr>
          <w:p w14:paraId="190DA0AB" w14:textId="77777777" w:rsidR="005E5C2F" w:rsidRPr="007454AA" w:rsidRDefault="005E5C2F" w:rsidP="00770482">
            <w:pP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SANISLÂU</w:t>
            </w:r>
          </w:p>
        </w:tc>
        <w:tc>
          <w:tcPr>
            <w:tcW w:w="2160" w:type="dxa"/>
            <w:tcBorders>
              <w:top w:val="single" w:sz="2" w:space="0" w:color="000000"/>
              <w:left w:val="single" w:sz="2" w:space="0" w:color="000000"/>
              <w:bottom w:val="single" w:sz="2" w:space="0" w:color="000000"/>
              <w:right w:val="single" w:sz="2" w:space="0" w:color="000000"/>
            </w:tcBorders>
          </w:tcPr>
          <w:p w14:paraId="3AD987C1" w14:textId="77777777" w:rsidR="005E5C2F" w:rsidRPr="007454AA" w:rsidRDefault="005E5C2F" w:rsidP="00770482">
            <w:pPr>
              <w:ind w:right="29"/>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9.000</w:t>
            </w:r>
          </w:p>
        </w:tc>
        <w:tc>
          <w:tcPr>
            <w:tcW w:w="2160" w:type="dxa"/>
            <w:tcBorders>
              <w:top w:val="single" w:sz="2" w:space="0" w:color="000000"/>
              <w:left w:val="single" w:sz="2" w:space="0" w:color="000000"/>
              <w:bottom w:val="single" w:sz="2" w:space="0" w:color="000000"/>
              <w:right w:val="single" w:sz="2" w:space="0" w:color="000000"/>
            </w:tcBorders>
          </w:tcPr>
          <w:p w14:paraId="4639C377" w14:textId="77777777" w:rsidR="005E5C2F" w:rsidRPr="007454AA" w:rsidRDefault="005E5C2F" w:rsidP="00770482">
            <w:pPr>
              <w:ind w:right="36"/>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310C8998" w14:textId="77777777" w:rsidR="005E5C2F" w:rsidRPr="007454AA" w:rsidRDefault="005E5C2F" w:rsidP="00770482">
            <w:pPr>
              <w:ind w:right="36"/>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9.500</w:t>
            </w:r>
          </w:p>
        </w:tc>
      </w:tr>
      <w:tr w:rsidR="007454AA" w:rsidRPr="007454AA" w14:paraId="70377A44" w14:textId="77777777" w:rsidTr="00414221">
        <w:trPr>
          <w:trHeight w:val="331"/>
        </w:trPr>
        <w:tc>
          <w:tcPr>
            <w:tcW w:w="1377" w:type="dxa"/>
            <w:tcBorders>
              <w:top w:val="single" w:sz="2" w:space="0" w:color="000000"/>
              <w:left w:val="single" w:sz="2" w:space="0" w:color="000000"/>
              <w:bottom w:val="single" w:sz="2" w:space="0" w:color="000000"/>
              <w:right w:val="single" w:sz="2" w:space="0" w:color="000000"/>
            </w:tcBorders>
          </w:tcPr>
          <w:p w14:paraId="38008BDE" w14:textId="77777777" w:rsidR="005E5C2F" w:rsidRPr="007454AA" w:rsidRDefault="005E5C2F" w:rsidP="00292ED5">
            <w:pPr>
              <w:ind w:left="72"/>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22</w:t>
            </w:r>
          </w:p>
        </w:tc>
        <w:tc>
          <w:tcPr>
            <w:tcW w:w="2493" w:type="dxa"/>
            <w:tcBorders>
              <w:top w:val="single" w:sz="2" w:space="0" w:color="000000"/>
              <w:left w:val="single" w:sz="2" w:space="0" w:color="000000"/>
              <w:bottom w:val="single" w:sz="2" w:space="0" w:color="000000"/>
              <w:right w:val="single" w:sz="2" w:space="0" w:color="000000"/>
            </w:tcBorders>
          </w:tcPr>
          <w:p w14:paraId="0802A37C" w14:textId="77777777" w:rsidR="005E5C2F" w:rsidRPr="007454AA" w:rsidRDefault="005E5C2F" w:rsidP="00770482">
            <w:pPr>
              <w:ind w:left="14"/>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HALMEU</w:t>
            </w:r>
          </w:p>
        </w:tc>
        <w:tc>
          <w:tcPr>
            <w:tcW w:w="2160" w:type="dxa"/>
            <w:tcBorders>
              <w:top w:val="single" w:sz="2" w:space="0" w:color="000000"/>
              <w:left w:val="single" w:sz="2" w:space="0" w:color="000000"/>
              <w:bottom w:val="single" w:sz="2" w:space="0" w:color="000000"/>
              <w:right w:val="single" w:sz="2" w:space="0" w:color="000000"/>
            </w:tcBorders>
          </w:tcPr>
          <w:p w14:paraId="68468BBC" w14:textId="77777777" w:rsidR="005E5C2F" w:rsidRPr="007454AA" w:rsidRDefault="005E5C2F" w:rsidP="00770482">
            <w:pPr>
              <w:ind w:right="29"/>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5.000</w:t>
            </w:r>
          </w:p>
        </w:tc>
        <w:tc>
          <w:tcPr>
            <w:tcW w:w="2160" w:type="dxa"/>
            <w:tcBorders>
              <w:top w:val="single" w:sz="2" w:space="0" w:color="000000"/>
              <w:left w:val="single" w:sz="2" w:space="0" w:color="000000"/>
              <w:bottom w:val="single" w:sz="2" w:space="0" w:color="000000"/>
              <w:right w:val="single" w:sz="2" w:space="0" w:color="000000"/>
            </w:tcBorders>
          </w:tcPr>
          <w:p w14:paraId="756B9445" w14:textId="77777777" w:rsidR="005E5C2F" w:rsidRPr="007454AA" w:rsidRDefault="005E5C2F" w:rsidP="00770482">
            <w:pPr>
              <w:ind w:right="29"/>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3B240743" w14:textId="77777777" w:rsidR="005E5C2F" w:rsidRPr="007454AA" w:rsidRDefault="005E5C2F" w:rsidP="00770482">
            <w:pPr>
              <w:ind w:right="36"/>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5.500</w:t>
            </w:r>
          </w:p>
        </w:tc>
      </w:tr>
      <w:tr w:rsidR="007454AA" w:rsidRPr="007454AA" w14:paraId="2845DD1E" w14:textId="77777777" w:rsidTr="00414221">
        <w:trPr>
          <w:trHeight w:val="331"/>
        </w:trPr>
        <w:tc>
          <w:tcPr>
            <w:tcW w:w="1377" w:type="dxa"/>
            <w:tcBorders>
              <w:top w:val="single" w:sz="2" w:space="0" w:color="000000"/>
              <w:left w:val="single" w:sz="2" w:space="0" w:color="000000"/>
              <w:bottom w:val="single" w:sz="2" w:space="0" w:color="000000"/>
              <w:right w:val="single" w:sz="2" w:space="0" w:color="000000"/>
            </w:tcBorders>
          </w:tcPr>
          <w:p w14:paraId="1B5A763F" w14:textId="77777777" w:rsidR="005E5C2F" w:rsidRPr="007454AA" w:rsidRDefault="005E5C2F" w:rsidP="00292ED5">
            <w:pPr>
              <w:ind w:left="72"/>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23</w:t>
            </w:r>
          </w:p>
        </w:tc>
        <w:tc>
          <w:tcPr>
            <w:tcW w:w="2493" w:type="dxa"/>
            <w:tcBorders>
              <w:top w:val="single" w:sz="2" w:space="0" w:color="000000"/>
              <w:left w:val="single" w:sz="2" w:space="0" w:color="000000"/>
              <w:bottom w:val="single" w:sz="2" w:space="0" w:color="000000"/>
              <w:right w:val="single" w:sz="2" w:space="0" w:color="000000"/>
            </w:tcBorders>
          </w:tcPr>
          <w:p w14:paraId="787705F5" w14:textId="77777777" w:rsidR="005E5C2F" w:rsidRPr="007454AA" w:rsidRDefault="005E5C2F" w:rsidP="00770482">
            <w:pP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TURULUNG</w:t>
            </w:r>
          </w:p>
        </w:tc>
        <w:tc>
          <w:tcPr>
            <w:tcW w:w="2160" w:type="dxa"/>
            <w:tcBorders>
              <w:top w:val="single" w:sz="2" w:space="0" w:color="000000"/>
              <w:left w:val="single" w:sz="2" w:space="0" w:color="000000"/>
              <w:bottom w:val="single" w:sz="2" w:space="0" w:color="000000"/>
              <w:right w:val="single" w:sz="2" w:space="0" w:color="000000"/>
            </w:tcBorders>
          </w:tcPr>
          <w:p w14:paraId="092C7541" w14:textId="77777777" w:rsidR="005E5C2F" w:rsidRPr="007454AA" w:rsidRDefault="005E5C2F" w:rsidP="00770482">
            <w:pPr>
              <w:ind w:right="29"/>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7.500</w:t>
            </w:r>
          </w:p>
        </w:tc>
        <w:tc>
          <w:tcPr>
            <w:tcW w:w="2160" w:type="dxa"/>
            <w:tcBorders>
              <w:top w:val="single" w:sz="2" w:space="0" w:color="000000"/>
              <w:left w:val="single" w:sz="2" w:space="0" w:color="000000"/>
              <w:bottom w:val="single" w:sz="2" w:space="0" w:color="000000"/>
              <w:right w:val="single" w:sz="2" w:space="0" w:color="000000"/>
            </w:tcBorders>
          </w:tcPr>
          <w:p w14:paraId="099AEBCC" w14:textId="77777777" w:rsidR="005E5C2F" w:rsidRPr="007454AA" w:rsidRDefault="005E5C2F" w:rsidP="00770482">
            <w:pPr>
              <w:ind w:right="29"/>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1754B8E5" w14:textId="77777777" w:rsidR="005E5C2F" w:rsidRPr="007454AA" w:rsidRDefault="005E5C2F" w:rsidP="00770482">
            <w:pPr>
              <w:ind w:right="29"/>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8.000</w:t>
            </w:r>
          </w:p>
        </w:tc>
      </w:tr>
      <w:tr w:rsidR="007454AA" w:rsidRPr="007454AA" w14:paraId="294405E0" w14:textId="77777777" w:rsidTr="00414221">
        <w:trPr>
          <w:trHeight w:val="317"/>
        </w:trPr>
        <w:tc>
          <w:tcPr>
            <w:tcW w:w="1377" w:type="dxa"/>
            <w:tcBorders>
              <w:top w:val="single" w:sz="2" w:space="0" w:color="000000"/>
              <w:left w:val="single" w:sz="2" w:space="0" w:color="000000"/>
              <w:bottom w:val="single" w:sz="2" w:space="0" w:color="000000"/>
              <w:right w:val="single" w:sz="2" w:space="0" w:color="000000"/>
            </w:tcBorders>
          </w:tcPr>
          <w:p w14:paraId="1B409D05" w14:textId="77777777" w:rsidR="005E5C2F" w:rsidRPr="007454AA" w:rsidRDefault="005E5C2F" w:rsidP="00292ED5">
            <w:pPr>
              <w:ind w:left="72"/>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24</w:t>
            </w:r>
          </w:p>
        </w:tc>
        <w:tc>
          <w:tcPr>
            <w:tcW w:w="2493" w:type="dxa"/>
            <w:tcBorders>
              <w:top w:val="single" w:sz="2" w:space="0" w:color="000000"/>
              <w:left w:val="single" w:sz="2" w:space="0" w:color="000000"/>
              <w:bottom w:val="single" w:sz="2" w:space="0" w:color="000000"/>
              <w:right w:val="single" w:sz="2" w:space="0" w:color="000000"/>
            </w:tcBorders>
          </w:tcPr>
          <w:p w14:paraId="18D4897B" w14:textId="77777777" w:rsidR="005E5C2F" w:rsidRPr="007454AA" w:rsidRDefault="005E5C2F" w:rsidP="00770482">
            <w:pP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TEREBEŞTI</w:t>
            </w:r>
          </w:p>
        </w:tc>
        <w:tc>
          <w:tcPr>
            <w:tcW w:w="2160" w:type="dxa"/>
            <w:tcBorders>
              <w:top w:val="single" w:sz="2" w:space="0" w:color="000000"/>
              <w:left w:val="single" w:sz="2" w:space="0" w:color="000000"/>
              <w:bottom w:val="single" w:sz="2" w:space="0" w:color="000000"/>
              <w:right w:val="single" w:sz="2" w:space="0" w:color="000000"/>
            </w:tcBorders>
          </w:tcPr>
          <w:p w14:paraId="2CAB0428" w14:textId="77777777" w:rsidR="005E5C2F" w:rsidRPr="007454AA" w:rsidRDefault="005E5C2F" w:rsidP="00770482">
            <w:pPr>
              <w:ind w:right="29"/>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4.000</w:t>
            </w:r>
          </w:p>
        </w:tc>
        <w:tc>
          <w:tcPr>
            <w:tcW w:w="2160" w:type="dxa"/>
            <w:tcBorders>
              <w:top w:val="single" w:sz="2" w:space="0" w:color="000000"/>
              <w:left w:val="single" w:sz="2" w:space="0" w:color="000000"/>
              <w:bottom w:val="single" w:sz="2" w:space="0" w:color="000000"/>
              <w:right w:val="single" w:sz="2" w:space="0" w:color="000000"/>
            </w:tcBorders>
          </w:tcPr>
          <w:p w14:paraId="37CB4F85" w14:textId="77777777" w:rsidR="005E5C2F" w:rsidRPr="007454AA" w:rsidRDefault="005E5C2F" w:rsidP="00770482">
            <w:pPr>
              <w:ind w:right="29"/>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0DB664C1" w14:textId="77777777" w:rsidR="005E5C2F" w:rsidRPr="007454AA" w:rsidRDefault="005E5C2F" w:rsidP="00770482">
            <w:pPr>
              <w:ind w:right="29"/>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4.500</w:t>
            </w:r>
          </w:p>
        </w:tc>
      </w:tr>
      <w:tr w:rsidR="007454AA" w:rsidRPr="007454AA" w14:paraId="1A9AA7AF" w14:textId="77777777" w:rsidTr="00414221">
        <w:trPr>
          <w:trHeight w:val="319"/>
        </w:trPr>
        <w:tc>
          <w:tcPr>
            <w:tcW w:w="1377" w:type="dxa"/>
            <w:tcBorders>
              <w:top w:val="single" w:sz="2" w:space="0" w:color="000000"/>
              <w:left w:val="single" w:sz="2" w:space="0" w:color="000000"/>
              <w:bottom w:val="single" w:sz="2" w:space="0" w:color="000000"/>
              <w:right w:val="single" w:sz="2" w:space="0" w:color="000000"/>
            </w:tcBorders>
          </w:tcPr>
          <w:p w14:paraId="31A219F9" w14:textId="77777777" w:rsidR="005E5C2F" w:rsidRPr="007454AA" w:rsidRDefault="005E5C2F" w:rsidP="00292ED5">
            <w:pPr>
              <w:ind w:left="79"/>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25</w:t>
            </w:r>
          </w:p>
        </w:tc>
        <w:tc>
          <w:tcPr>
            <w:tcW w:w="2493" w:type="dxa"/>
            <w:tcBorders>
              <w:top w:val="single" w:sz="2" w:space="0" w:color="000000"/>
              <w:left w:val="single" w:sz="2" w:space="0" w:color="000000"/>
              <w:bottom w:val="single" w:sz="2" w:space="0" w:color="000000"/>
              <w:right w:val="single" w:sz="2" w:space="0" w:color="000000"/>
            </w:tcBorders>
          </w:tcPr>
          <w:p w14:paraId="32CB36C1" w14:textId="77777777" w:rsidR="005E5C2F" w:rsidRPr="007454AA" w:rsidRDefault="005E5C2F" w:rsidP="00770482">
            <w:pPr>
              <w:ind w:left="14"/>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ORAŞU NOU</w:t>
            </w:r>
          </w:p>
        </w:tc>
        <w:tc>
          <w:tcPr>
            <w:tcW w:w="2160" w:type="dxa"/>
            <w:tcBorders>
              <w:top w:val="single" w:sz="2" w:space="0" w:color="000000"/>
              <w:left w:val="single" w:sz="2" w:space="0" w:color="000000"/>
              <w:bottom w:val="single" w:sz="2" w:space="0" w:color="000000"/>
              <w:right w:val="single" w:sz="2" w:space="0" w:color="000000"/>
            </w:tcBorders>
          </w:tcPr>
          <w:p w14:paraId="39006706" w14:textId="77777777" w:rsidR="005E5C2F" w:rsidRPr="007454AA" w:rsidRDefault="005E5C2F" w:rsidP="00770482">
            <w:pPr>
              <w:ind w:right="29"/>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9.000</w:t>
            </w:r>
          </w:p>
        </w:tc>
        <w:tc>
          <w:tcPr>
            <w:tcW w:w="2160" w:type="dxa"/>
            <w:tcBorders>
              <w:top w:val="single" w:sz="2" w:space="0" w:color="000000"/>
              <w:left w:val="single" w:sz="2" w:space="0" w:color="000000"/>
              <w:bottom w:val="single" w:sz="2" w:space="0" w:color="000000"/>
              <w:right w:val="single" w:sz="2" w:space="0" w:color="000000"/>
            </w:tcBorders>
          </w:tcPr>
          <w:p w14:paraId="5F7D3402" w14:textId="77777777" w:rsidR="005E5C2F" w:rsidRPr="007454AA" w:rsidRDefault="005E5C2F" w:rsidP="00770482">
            <w:pPr>
              <w:ind w:right="29"/>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614120F8" w14:textId="77777777" w:rsidR="005E5C2F" w:rsidRPr="007454AA" w:rsidRDefault="005E5C2F" w:rsidP="00770482">
            <w:pPr>
              <w:ind w:right="29"/>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9.500</w:t>
            </w:r>
          </w:p>
        </w:tc>
      </w:tr>
      <w:tr w:rsidR="007454AA" w:rsidRPr="007454AA" w14:paraId="1357C250" w14:textId="77777777" w:rsidTr="00414221">
        <w:trPr>
          <w:trHeight w:val="321"/>
        </w:trPr>
        <w:tc>
          <w:tcPr>
            <w:tcW w:w="1377" w:type="dxa"/>
            <w:tcBorders>
              <w:top w:val="single" w:sz="2" w:space="0" w:color="000000"/>
              <w:left w:val="single" w:sz="2" w:space="0" w:color="000000"/>
              <w:bottom w:val="single" w:sz="2" w:space="0" w:color="000000"/>
              <w:right w:val="single" w:sz="2" w:space="0" w:color="000000"/>
            </w:tcBorders>
          </w:tcPr>
          <w:p w14:paraId="3A1F9308" w14:textId="77777777" w:rsidR="005E5C2F" w:rsidRPr="007454AA" w:rsidRDefault="005E5C2F" w:rsidP="00292ED5">
            <w:pPr>
              <w:ind w:left="79"/>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26</w:t>
            </w:r>
          </w:p>
        </w:tc>
        <w:tc>
          <w:tcPr>
            <w:tcW w:w="2493" w:type="dxa"/>
            <w:tcBorders>
              <w:top w:val="single" w:sz="2" w:space="0" w:color="000000"/>
              <w:left w:val="single" w:sz="2" w:space="0" w:color="000000"/>
              <w:bottom w:val="single" w:sz="2" w:space="0" w:color="000000"/>
              <w:right w:val="single" w:sz="2" w:space="0" w:color="000000"/>
            </w:tcBorders>
          </w:tcPr>
          <w:p w14:paraId="6858650F" w14:textId="77777777" w:rsidR="005E5C2F" w:rsidRPr="007454AA" w:rsidRDefault="005E5C2F" w:rsidP="00770482">
            <w:pPr>
              <w:ind w:left="7"/>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SÂUCA</w:t>
            </w:r>
          </w:p>
        </w:tc>
        <w:tc>
          <w:tcPr>
            <w:tcW w:w="2160" w:type="dxa"/>
            <w:tcBorders>
              <w:top w:val="single" w:sz="2" w:space="0" w:color="000000"/>
              <w:left w:val="single" w:sz="2" w:space="0" w:color="000000"/>
              <w:bottom w:val="single" w:sz="2" w:space="0" w:color="000000"/>
              <w:right w:val="single" w:sz="2" w:space="0" w:color="000000"/>
            </w:tcBorders>
          </w:tcPr>
          <w:p w14:paraId="2229D169" w14:textId="77777777" w:rsidR="005E5C2F" w:rsidRPr="007454AA" w:rsidRDefault="005E5C2F" w:rsidP="00770482">
            <w:pPr>
              <w:ind w:right="29"/>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3.000</w:t>
            </w:r>
          </w:p>
        </w:tc>
        <w:tc>
          <w:tcPr>
            <w:tcW w:w="2160" w:type="dxa"/>
            <w:tcBorders>
              <w:top w:val="single" w:sz="2" w:space="0" w:color="000000"/>
              <w:left w:val="single" w:sz="2" w:space="0" w:color="000000"/>
              <w:bottom w:val="single" w:sz="2" w:space="0" w:color="000000"/>
              <w:right w:val="single" w:sz="2" w:space="0" w:color="000000"/>
            </w:tcBorders>
          </w:tcPr>
          <w:p w14:paraId="39535E45" w14:textId="77777777" w:rsidR="005E5C2F" w:rsidRPr="007454AA" w:rsidRDefault="005E5C2F" w:rsidP="00770482">
            <w:pPr>
              <w:ind w:right="29"/>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4E544E96" w14:textId="77777777" w:rsidR="005E5C2F" w:rsidRPr="007454AA" w:rsidRDefault="005E5C2F" w:rsidP="00770482">
            <w:pPr>
              <w:ind w:right="29"/>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3.500</w:t>
            </w:r>
          </w:p>
        </w:tc>
      </w:tr>
      <w:tr w:rsidR="007454AA" w:rsidRPr="007454AA" w14:paraId="5DE0EBF9" w14:textId="77777777" w:rsidTr="00414221">
        <w:trPr>
          <w:trHeight w:val="331"/>
        </w:trPr>
        <w:tc>
          <w:tcPr>
            <w:tcW w:w="1377" w:type="dxa"/>
            <w:tcBorders>
              <w:top w:val="single" w:sz="2" w:space="0" w:color="000000"/>
              <w:left w:val="single" w:sz="2" w:space="0" w:color="000000"/>
              <w:bottom w:val="single" w:sz="2" w:space="0" w:color="000000"/>
              <w:right w:val="single" w:sz="2" w:space="0" w:color="000000"/>
            </w:tcBorders>
          </w:tcPr>
          <w:p w14:paraId="28C6272B" w14:textId="77777777" w:rsidR="005E5C2F" w:rsidRPr="007454AA" w:rsidRDefault="005E5C2F" w:rsidP="00292ED5">
            <w:pPr>
              <w:ind w:left="79"/>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27</w:t>
            </w:r>
          </w:p>
        </w:tc>
        <w:tc>
          <w:tcPr>
            <w:tcW w:w="2493" w:type="dxa"/>
            <w:tcBorders>
              <w:top w:val="single" w:sz="2" w:space="0" w:color="000000"/>
              <w:left w:val="single" w:sz="2" w:space="0" w:color="000000"/>
              <w:bottom w:val="single" w:sz="2" w:space="0" w:color="000000"/>
              <w:right w:val="single" w:sz="2" w:space="0" w:color="000000"/>
            </w:tcBorders>
          </w:tcPr>
          <w:p w14:paraId="54D967A0" w14:textId="77777777" w:rsidR="005E5C2F" w:rsidRPr="007454AA" w:rsidRDefault="005E5C2F" w:rsidP="00770482">
            <w:pPr>
              <w:ind w:left="7"/>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SUPUR</w:t>
            </w:r>
          </w:p>
        </w:tc>
        <w:tc>
          <w:tcPr>
            <w:tcW w:w="2160" w:type="dxa"/>
            <w:tcBorders>
              <w:top w:val="single" w:sz="2" w:space="0" w:color="000000"/>
              <w:left w:val="single" w:sz="2" w:space="0" w:color="000000"/>
              <w:bottom w:val="single" w:sz="2" w:space="0" w:color="000000"/>
              <w:right w:val="single" w:sz="2" w:space="0" w:color="000000"/>
            </w:tcBorders>
          </w:tcPr>
          <w:p w14:paraId="33693826" w14:textId="77777777" w:rsidR="005E5C2F" w:rsidRPr="007454AA" w:rsidRDefault="005E5C2F" w:rsidP="00770482">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12.000</w:t>
            </w:r>
          </w:p>
        </w:tc>
        <w:tc>
          <w:tcPr>
            <w:tcW w:w="2160" w:type="dxa"/>
            <w:tcBorders>
              <w:top w:val="single" w:sz="2" w:space="0" w:color="000000"/>
              <w:left w:val="single" w:sz="2" w:space="0" w:color="000000"/>
              <w:bottom w:val="single" w:sz="2" w:space="0" w:color="000000"/>
              <w:right w:val="single" w:sz="2" w:space="0" w:color="000000"/>
            </w:tcBorders>
          </w:tcPr>
          <w:p w14:paraId="669BC72B" w14:textId="77777777" w:rsidR="005E5C2F" w:rsidRPr="007454AA" w:rsidRDefault="005E5C2F" w:rsidP="00770482">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0134B3C3" w14:textId="77777777" w:rsidR="005E5C2F" w:rsidRPr="007454AA" w:rsidRDefault="005E5C2F" w:rsidP="00770482">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12.500</w:t>
            </w:r>
          </w:p>
        </w:tc>
      </w:tr>
      <w:tr w:rsidR="007454AA" w:rsidRPr="007454AA" w14:paraId="69C68337" w14:textId="77777777" w:rsidTr="00414221">
        <w:trPr>
          <w:trHeight w:val="319"/>
        </w:trPr>
        <w:tc>
          <w:tcPr>
            <w:tcW w:w="1377" w:type="dxa"/>
            <w:tcBorders>
              <w:top w:val="single" w:sz="2" w:space="0" w:color="000000"/>
              <w:left w:val="single" w:sz="2" w:space="0" w:color="000000"/>
              <w:bottom w:val="single" w:sz="2" w:space="0" w:color="000000"/>
              <w:right w:val="single" w:sz="2" w:space="0" w:color="000000"/>
            </w:tcBorders>
          </w:tcPr>
          <w:p w14:paraId="18C988C7" w14:textId="77777777" w:rsidR="005E5C2F" w:rsidRPr="007454AA" w:rsidRDefault="005E5C2F" w:rsidP="00292ED5">
            <w:pPr>
              <w:ind w:left="79"/>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28</w:t>
            </w:r>
          </w:p>
        </w:tc>
        <w:tc>
          <w:tcPr>
            <w:tcW w:w="2493" w:type="dxa"/>
            <w:tcBorders>
              <w:top w:val="single" w:sz="2" w:space="0" w:color="000000"/>
              <w:left w:val="single" w:sz="2" w:space="0" w:color="000000"/>
              <w:bottom w:val="single" w:sz="2" w:space="0" w:color="000000"/>
              <w:right w:val="single" w:sz="2" w:space="0" w:color="000000"/>
            </w:tcBorders>
          </w:tcPr>
          <w:p w14:paraId="0690E6A8" w14:textId="77777777" w:rsidR="005E5C2F" w:rsidRPr="007454AA" w:rsidRDefault="005E5C2F" w:rsidP="00770482">
            <w:pPr>
              <w:ind w:left="14"/>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CÂPLENI</w:t>
            </w:r>
          </w:p>
        </w:tc>
        <w:tc>
          <w:tcPr>
            <w:tcW w:w="2160" w:type="dxa"/>
            <w:tcBorders>
              <w:top w:val="single" w:sz="2" w:space="0" w:color="000000"/>
              <w:left w:val="single" w:sz="2" w:space="0" w:color="000000"/>
              <w:bottom w:val="single" w:sz="2" w:space="0" w:color="000000"/>
              <w:right w:val="single" w:sz="2" w:space="0" w:color="000000"/>
            </w:tcBorders>
          </w:tcPr>
          <w:p w14:paraId="7FED5C85" w14:textId="77777777" w:rsidR="005E5C2F" w:rsidRPr="007454AA" w:rsidRDefault="005E5C2F" w:rsidP="00770482">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7.000</w:t>
            </w:r>
          </w:p>
        </w:tc>
        <w:tc>
          <w:tcPr>
            <w:tcW w:w="2160" w:type="dxa"/>
            <w:tcBorders>
              <w:top w:val="single" w:sz="2" w:space="0" w:color="000000"/>
              <w:left w:val="single" w:sz="2" w:space="0" w:color="000000"/>
              <w:bottom w:val="single" w:sz="2" w:space="0" w:color="000000"/>
              <w:right w:val="single" w:sz="2" w:space="0" w:color="000000"/>
            </w:tcBorders>
          </w:tcPr>
          <w:p w14:paraId="500361F0" w14:textId="03A82A06" w:rsidR="005E5C2F" w:rsidRPr="007454AA" w:rsidRDefault="005E5C2F" w:rsidP="00770482">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 xml:space="preserve">7 </w:t>
            </w:r>
            <w:r w:rsidR="00A30577" w:rsidRPr="007454AA">
              <w:rPr>
                <w:rFonts w:ascii="Times New Roman" w:eastAsia="Times New Roman" w:hAnsi="Times New Roman" w:cs="Times New Roman"/>
                <w:sz w:val="20"/>
                <w:szCs w:val="20"/>
                <w:lang w:val="ro-RO"/>
              </w:rPr>
              <w:t>.000</w:t>
            </w:r>
          </w:p>
        </w:tc>
        <w:tc>
          <w:tcPr>
            <w:tcW w:w="2340" w:type="dxa"/>
            <w:tcBorders>
              <w:top w:val="single" w:sz="2" w:space="0" w:color="000000"/>
              <w:left w:val="single" w:sz="2" w:space="0" w:color="000000"/>
              <w:bottom w:val="single" w:sz="2" w:space="0" w:color="000000"/>
              <w:right w:val="single" w:sz="2" w:space="0" w:color="000000"/>
            </w:tcBorders>
          </w:tcPr>
          <w:p w14:paraId="2CD10556" w14:textId="77777777" w:rsidR="005E5C2F" w:rsidRPr="007454AA" w:rsidRDefault="005E5C2F" w:rsidP="00770482">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14.000</w:t>
            </w:r>
          </w:p>
        </w:tc>
      </w:tr>
      <w:tr w:rsidR="007454AA" w:rsidRPr="007454AA" w14:paraId="18168BCB" w14:textId="77777777" w:rsidTr="00414221">
        <w:trPr>
          <w:trHeight w:val="324"/>
        </w:trPr>
        <w:tc>
          <w:tcPr>
            <w:tcW w:w="1377" w:type="dxa"/>
            <w:tcBorders>
              <w:top w:val="single" w:sz="2" w:space="0" w:color="000000"/>
              <w:left w:val="single" w:sz="2" w:space="0" w:color="000000"/>
              <w:bottom w:val="single" w:sz="2" w:space="0" w:color="000000"/>
              <w:right w:val="single" w:sz="2" w:space="0" w:color="000000"/>
            </w:tcBorders>
          </w:tcPr>
          <w:p w14:paraId="7FA4C00D" w14:textId="77777777" w:rsidR="005E5C2F" w:rsidRPr="007454AA" w:rsidRDefault="005E5C2F" w:rsidP="00292ED5">
            <w:pPr>
              <w:ind w:left="79"/>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29</w:t>
            </w:r>
          </w:p>
        </w:tc>
        <w:tc>
          <w:tcPr>
            <w:tcW w:w="2493" w:type="dxa"/>
            <w:tcBorders>
              <w:top w:val="single" w:sz="2" w:space="0" w:color="000000"/>
              <w:left w:val="single" w:sz="2" w:space="0" w:color="000000"/>
              <w:bottom w:val="single" w:sz="2" w:space="0" w:color="000000"/>
              <w:right w:val="single" w:sz="2" w:space="0" w:color="000000"/>
            </w:tcBorders>
          </w:tcPr>
          <w:p w14:paraId="6E68A237" w14:textId="77777777" w:rsidR="005E5C2F" w:rsidRPr="007454AA" w:rsidRDefault="005E5C2F" w:rsidP="00770482">
            <w:pPr>
              <w:ind w:left="22"/>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FOIENI</w:t>
            </w:r>
          </w:p>
        </w:tc>
        <w:tc>
          <w:tcPr>
            <w:tcW w:w="2160" w:type="dxa"/>
            <w:tcBorders>
              <w:top w:val="single" w:sz="2" w:space="0" w:color="000000"/>
              <w:left w:val="single" w:sz="2" w:space="0" w:color="000000"/>
              <w:bottom w:val="single" w:sz="2" w:space="0" w:color="000000"/>
              <w:right w:val="single" w:sz="2" w:space="0" w:color="000000"/>
            </w:tcBorders>
          </w:tcPr>
          <w:p w14:paraId="3F23FC9C" w14:textId="77777777" w:rsidR="005E5C2F" w:rsidRPr="007454AA" w:rsidRDefault="005E5C2F" w:rsidP="00770482">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7.000</w:t>
            </w:r>
          </w:p>
        </w:tc>
        <w:tc>
          <w:tcPr>
            <w:tcW w:w="2160" w:type="dxa"/>
            <w:tcBorders>
              <w:top w:val="single" w:sz="2" w:space="0" w:color="000000"/>
              <w:left w:val="single" w:sz="2" w:space="0" w:color="000000"/>
              <w:bottom w:val="single" w:sz="2" w:space="0" w:color="000000"/>
              <w:right w:val="single" w:sz="2" w:space="0" w:color="000000"/>
            </w:tcBorders>
          </w:tcPr>
          <w:p w14:paraId="629EC469" w14:textId="77777777" w:rsidR="005E5C2F" w:rsidRPr="007454AA" w:rsidRDefault="005E5C2F" w:rsidP="00770482">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6.000</w:t>
            </w:r>
          </w:p>
        </w:tc>
        <w:tc>
          <w:tcPr>
            <w:tcW w:w="2340" w:type="dxa"/>
            <w:tcBorders>
              <w:top w:val="single" w:sz="2" w:space="0" w:color="000000"/>
              <w:left w:val="single" w:sz="2" w:space="0" w:color="000000"/>
              <w:bottom w:val="single" w:sz="2" w:space="0" w:color="000000"/>
              <w:right w:val="single" w:sz="2" w:space="0" w:color="000000"/>
            </w:tcBorders>
          </w:tcPr>
          <w:p w14:paraId="7FE1E4E1" w14:textId="77777777" w:rsidR="005E5C2F" w:rsidRPr="007454AA" w:rsidRDefault="005E5C2F" w:rsidP="00770482">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13.000</w:t>
            </w:r>
          </w:p>
        </w:tc>
      </w:tr>
      <w:tr w:rsidR="007454AA" w:rsidRPr="007454AA" w14:paraId="6A32051E" w14:textId="77777777" w:rsidTr="00414221">
        <w:trPr>
          <w:trHeight w:val="317"/>
        </w:trPr>
        <w:tc>
          <w:tcPr>
            <w:tcW w:w="1377" w:type="dxa"/>
            <w:tcBorders>
              <w:top w:val="single" w:sz="2" w:space="0" w:color="000000"/>
              <w:left w:val="single" w:sz="2" w:space="0" w:color="000000"/>
              <w:bottom w:val="single" w:sz="2" w:space="0" w:color="000000"/>
              <w:right w:val="single" w:sz="2" w:space="0" w:color="000000"/>
            </w:tcBorders>
          </w:tcPr>
          <w:p w14:paraId="33FDAE8F" w14:textId="77777777" w:rsidR="005E5C2F" w:rsidRPr="007454AA" w:rsidRDefault="005E5C2F" w:rsidP="00292ED5">
            <w:pPr>
              <w:ind w:left="79"/>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30</w:t>
            </w:r>
          </w:p>
        </w:tc>
        <w:tc>
          <w:tcPr>
            <w:tcW w:w="2493" w:type="dxa"/>
            <w:tcBorders>
              <w:top w:val="single" w:sz="2" w:space="0" w:color="000000"/>
              <w:left w:val="single" w:sz="2" w:space="0" w:color="000000"/>
              <w:bottom w:val="single" w:sz="2" w:space="0" w:color="000000"/>
              <w:right w:val="single" w:sz="2" w:space="0" w:color="000000"/>
            </w:tcBorders>
          </w:tcPr>
          <w:p w14:paraId="261E6630" w14:textId="77777777" w:rsidR="005E5C2F" w:rsidRPr="007454AA" w:rsidRDefault="005E5C2F" w:rsidP="00770482">
            <w:pPr>
              <w:ind w:left="22"/>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BELTIUG</w:t>
            </w:r>
          </w:p>
        </w:tc>
        <w:tc>
          <w:tcPr>
            <w:tcW w:w="2160" w:type="dxa"/>
            <w:tcBorders>
              <w:top w:val="single" w:sz="2" w:space="0" w:color="000000"/>
              <w:left w:val="single" w:sz="2" w:space="0" w:color="000000"/>
              <w:bottom w:val="single" w:sz="2" w:space="0" w:color="000000"/>
              <w:right w:val="single" w:sz="2" w:space="0" w:color="000000"/>
            </w:tcBorders>
          </w:tcPr>
          <w:p w14:paraId="774308CA" w14:textId="77777777" w:rsidR="005E5C2F" w:rsidRPr="007454AA" w:rsidRDefault="005E5C2F" w:rsidP="00770482">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5.000</w:t>
            </w:r>
          </w:p>
        </w:tc>
        <w:tc>
          <w:tcPr>
            <w:tcW w:w="2160" w:type="dxa"/>
            <w:tcBorders>
              <w:top w:val="single" w:sz="2" w:space="0" w:color="000000"/>
              <w:left w:val="single" w:sz="2" w:space="0" w:color="000000"/>
              <w:bottom w:val="single" w:sz="2" w:space="0" w:color="000000"/>
              <w:right w:val="single" w:sz="2" w:space="0" w:color="000000"/>
            </w:tcBorders>
          </w:tcPr>
          <w:p w14:paraId="61B526EA" w14:textId="77777777" w:rsidR="005E5C2F" w:rsidRPr="007454AA" w:rsidRDefault="005E5C2F" w:rsidP="00770482">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7DA2D0D2" w14:textId="77777777" w:rsidR="005E5C2F" w:rsidRPr="007454AA" w:rsidRDefault="005E5C2F" w:rsidP="00770482">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5.500</w:t>
            </w:r>
          </w:p>
        </w:tc>
      </w:tr>
      <w:tr w:rsidR="007454AA" w:rsidRPr="007454AA" w14:paraId="7138FB7C" w14:textId="77777777" w:rsidTr="00414221">
        <w:trPr>
          <w:trHeight w:val="324"/>
        </w:trPr>
        <w:tc>
          <w:tcPr>
            <w:tcW w:w="1377" w:type="dxa"/>
            <w:tcBorders>
              <w:top w:val="single" w:sz="2" w:space="0" w:color="000000"/>
              <w:left w:val="single" w:sz="2" w:space="0" w:color="000000"/>
              <w:bottom w:val="single" w:sz="2" w:space="0" w:color="000000"/>
              <w:right w:val="single" w:sz="2" w:space="0" w:color="000000"/>
            </w:tcBorders>
          </w:tcPr>
          <w:p w14:paraId="1BFB416B" w14:textId="77777777" w:rsidR="005E5C2F" w:rsidRPr="007454AA" w:rsidRDefault="005E5C2F" w:rsidP="00292ED5">
            <w:pPr>
              <w:ind w:left="79"/>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31</w:t>
            </w:r>
          </w:p>
        </w:tc>
        <w:tc>
          <w:tcPr>
            <w:tcW w:w="2493" w:type="dxa"/>
            <w:tcBorders>
              <w:top w:val="single" w:sz="2" w:space="0" w:color="000000"/>
              <w:left w:val="single" w:sz="2" w:space="0" w:color="000000"/>
              <w:bottom w:val="single" w:sz="2" w:space="0" w:color="000000"/>
              <w:right w:val="single" w:sz="2" w:space="0" w:color="000000"/>
            </w:tcBorders>
          </w:tcPr>
          <w:p w14:paraId="11096078" w14:textId="77777777" w:rsidR="005E5C2F" w:rsidRPr="007454AA" w:rsidRDefault="005E5C2F" w:rsidP="00770482">
            <w:pPr>
              <w:ind w:left="22"/>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CRUCIŞOR</w:t>
            </w:r>
          </w:p>
        </w:tc>
        <w:tc>
          <w:tcPr>
            <w:tcW w:w="2160" w:type="dxa"/>
            <w:tcBorders>
              <w:top w:val="single" w:sz="2" w:space="0" w:color="000000"/>
              <w:left w:val="single" w:sz="2" w:space="0" w:color="000000"/>
              <w:bottom w:val="single" w:sz="2" w:space="0" w:color="000000"/>
              <w:right w:val="single" w:sz="2" w:space="0" w:color="000000"/>
            </w:tcBorders>
          </w:tcPr>
          <w:p w14:paraId="2FC690B8" w14:textId="77777777" w:rsidR="005E5C2F" w:rsidRPr="007454AA" w:rsidRDefault="005E5C2F" w:rsidP="00770482">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8.000</w:t>
            </w:r>
          </w:p>
        </w:tc>
        <w:tc>
          <w:tcPr>
            <w:tcW w:w="2160" w:type="dxa"/>
            <w:tcBorders>
              <w:top w:val="single" w:sz="2" w:space="0" w:color="000000"/>
              <w:left w:val="single" w:sz="2" w:space="0" w:color="000000"/>
              <w:bottom w:val="single" w:sz="2" w:space="0" w:color="000000"/>
              <w:right w:val="single" w:sz="2" w:space="0" w:color="000000"/>
            </w:tcBorders>
          </w:tcPr>
          <w:p w14:paraId="6FAAB45D" w14:textId="77777777" w:rsidR="005E5C2F" w:rsidRPr="007454AA" w:rsidRDefault="005E5C2F" w:rsidP="00770482">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2.500</w:t>
            </w:r>
          </w:p>
        </w:tc>
        <w:tc>
          <w:tcPr>
            <w:tcW w:w="2340" w:type="dxa"/>
            <w:tcBorders>
              <w:top w:val="single" w:sz="2" w:space="0" w:color="000000"/>
              <w:left w:val="single" w:sz="2" w:space="0" w:color="000000"/>
              <w:bottom w:val="single" w:sz="2" w:space="0" w:color="000000"/>
              <w:right w:val="single" w:sz="2" w:space="0" w:color="000000"/>
            </w:tcBorders>
          </w:tcPr>
          <w:p w14:paraId="02D6459B" w14:textId="77777777" w:rsidR="005E5C2F" w:rsidRPr="007454AA" w:rsidRDefault="005E5C2F" w:rsidP="00770482">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10.500</w:t>
            </w:r>
          </w:p>
        </w:tc>
      </w:tr>
      <w:tr w:rsidR="007454AA" w:rsidRPr="007454AA" w14:paraId="65C93099" w14:textId="77777777" w:rsidTr="00414221">
        <w:trPr>
          <w:trHeight w:val="324"/>
        </w:trPr>
        <w:tc>
          <w:tcPr>
            <w:tcW w:w="1377" w:type="dxa"/>
            <w:tcBorders>
              <w:top w:val="single" w:sz="2" w:space="0" w:color="000000"/>
              <w:left w:val="single" w:sz="2" w:space="0" w:color="000000"/>
              <w:bottom w:val="single" w:sz="2" w:space="0" w:color="000000"/>
              <w:right w:val="single" w:sz="2" w:space="0" w:color="000000"/>
            </w:tcBorders>
          </w:tcPr>
          <w:p w14:paraId="3214BC63" w14:textId="77777777" w:rsidR="005E5C2F" w:rsidRPr="007454AA" w:rsidRDefault="005E5C2F" w:rsidP="00292ED5">
            <w:pPr>
              <w:ind w:left="79"/>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32</w:t>
            </w:r>
          </w:p>
        </w:tc>
        <w:tc>
          <w:tcPr>
            <w:tcW w:w="2493" w:type="dxa"/>
            <w:tcBorders>
              <w:top w:val="single" w:sz="2" w:space="0" w:color="000000"/>
              <w:left w:val="single" w:sz="2" w:space="0" w:color="000000"/>
              <w:bottom w:val="single" w:sz="2" w:space="0" w:color="000000"/>
              <w:right w:val="single" w:sz="2" w:space="0" w:color="000000"/>
            </w:tcBorders>
          </w:tcPr>
          <w:p w14:paraId="608BE194" w14:textId="77777777" w:rsidR="005E5C2F" w:rsidRPr="007454AA" w:rsidRDefault="005E5C2F" w:rsidP="00770482">
            <w:pPr>
              <w:ind w:left="14"/>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SÂCÂŞENI</w:t>
            </w:r>
          </w:p>
        </w:tc>
        <w:tc>
          <w:tcPr>
            <w:tcW w:w="2160" w:type="dxa"/>
            <w:tcBorders>
              <w:top w:val="single" w:sz="2" w:space="0" w:color="000000"/>
              <w:left w:val="single" w:sz="2" w:space="0" w:color="000000"/>
              <w:bottom w:val="single" w:sz="2" w:space="0" w:color="000000"/>
              <w:right w:val="single" w:sz="2" w:space="0" w:color="000000"/>
            </w:tcBorders>
          </w:tcPr>
          <w:p w14:paraId="7159CCC5" w14:textId="77777777" w:rsidR="005E5C2F" w:rsidRPr="007454AA" w:rsidRDefault="005E5C2F" w:rsidP="00770482">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3.500</w:t>
            </w:r>
          </w:p>
        </w:tc>
        <w:tc>
          <w:tcPr>
            <w:tcW w:w="2160" w:type="dxa"/>
            <w:tcBorders>
              <w:top w:val="single" w:sz="2" w:space="0" w:color="000000"/>
              <w:left w:val="single" w:sz="2" w:space="0" w:color="000000"/>
              <w:bottom w:val="single" w:sz="2" w:space="0" w:color="000000"/>
              <w:right w:val="single" w:sz="2" w:space="0" w:color="000000"/>
            </w:tcBorders>
          </w:tcPr>
          <w:p w14:paraId="1D1191E3" w14:textId="77777777" w:rsidR="005E5C2F" w:rsidRPr="007454AA" w:rsidRDefault="005E5C2F" w:rsidP="00770482">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1.000</w:t>
            </w:r>
          </w:p>
        </w:tc>
        <w:tc>
          <w:tcPr>
            <w:tcW w:w="2340" w:type="dxa"/>
            <w:tcBorders>
              <w:top w:val="single" w:sz="2" w:space="0" w:color="000000"/>
              <w:left w:val="single" w:sz="2" w:space="0" w:color="000000"/>
              <w:bottom w:val="single" w:sz="2" w:space="0" w:color="000000"/>
              <w:right w:val="single" w:sz="2" w:space="0" w:color="000000"/>
            </w:tcBorders>
          </w:tcPr>
          <w:p w14:paraId="46166FBB" w14:textId="77777777" w:rsidR="005E5C2F" w:rsidRPr="007454AA" w:rsidRDefault="005E5C2F" w:rsidP="00770482">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4.500</w:t>
            </w:r>
          </w:p>
        </w:tc>
      </w:tr>
      <w:tr w:rsidR="007454AA" w:rsidRPr="007454AA" w14:paraId="4D3E191A" w14:textId="77777777" w:rsidTr="00414221">
        <w:trPr>
          <w:trHeight w:val="328"/>
        </w:trPr>
        <w:tc>
          <w:tcPr>
            <w:tcW w:w="1377" w:type="dxa"/>
            <w:tcBorders>
              <w:top w:val="single" w:sz="2" w:space="0" w:color="000000"/>
              <w:left w:val="single" w:sz="2" w:space="0" w:color="000000"/>
              <w:bottom w:val="single" w:sz="2" w:space="0" w:color="000000"/>
              <w:right w:val="single" w:sz="2" w:space="0" w:color="000000"/>
            </w:tcBorders>
          </w:tcPr>
          <w:p w14:paraId="725A4B59" w14:textId="77777777" w:rsidR="005E5C2F" w:rsidRPr="007454AA" w:rsidRDefault="005E5C2F" w:rsidP="00292ED5">
            <w:pPr>
              <w:ind w:left="79"/>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33</w:t>
            </w:r>
          </w:p>
        </w:tc>
        <w:tc>
          <w:tcPr>
            <w:tcW w:w="2493" w:type="dxa"/>
            <w:tcBorders>
              <w:top w:val="single" w:sz="2" w:space="0" w:color="000000"/>
              <w:left w:val="single" w:sz="2" w:space="0" w:color="000000"/>
              <w:bottom w:val="single" w:sz="2" w:space="0" w:color="000000"/>
              <w:right w:val="single" w:sz="2" w:space="0" w:color="000000"/>
            </w:tcBorders>
          </w:tcPr>
          <w:p w14:paraId="0D099982" w14:textId="77777777" w:rsidR="005E5C2F" w:rsidRPr="007454AA" w:rsidRDefault="005E5C2F" w:rsidP="00770482">
            <w:pPr>
              <w:ind w:left="14"/>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TURT</w:t>
            </w:r>
          </w:p>
        </w:tc>
        <w:tc>
          <w:tcPr>
            <w:tcW w:w="2160" w:type="dxa"/>
            <w:tcBorders>
              <w:top w:val="single" w:sz="2" w:space="0" w:color="000000"/>
              <w:left w:val="single" w:sz="2" w:space="0" w:color="000000"/>
              <w:bottom w:val="single" w:sz="2" w:space="0" w:color="000000"/>
              <w:right w:val="single" w:sz="2" w:space="0" w:color="000000"/>
            </w:tcBorders>
          </w:tcPr>
          <w:p w14:paraId="4452D396" w14:textId="77777777" w:rsidR="005E5C2F" w:rsidRPr="007454AA" w:rsidRDefault="005E5C2F" w:rsidP="00770482">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10.000</w:t>
            </w:r>
          </w:p>
        </w:tc>
        <w:tc>
          <w:tcPr>
            <w:tcW w:w="2160" w:type="dxa"/>
            <w:tcBorders>
              <w:top w:val="single" w:sz="2" w:space="0" w:color="000000"/>
              <w:left w:val="single" w:sz="2" w:space="0" w:color="000000"/>
              <w:bottom w:val="single" w:sz="2" w:space="0" w:color="000000"/>
              <w:right w:val="single" w:sz="2" w:space="0" w:color="000000"/>
            </w:tcBorders>
          </w:tcPr>
          <w:p w14:paraId="388C06A5" w14:textId="77777777" w:rsidR="005E5C2F" w:rsidRPr="007454AA" w:rsidRDefault="005E5C2F" w:rsidP="00770482">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3.000</w:t>
            </w:r>
          </w:p>
        </w:tc>
        <w:tc>
          <w:tcPr>
            <w:tcW w:w="2340" w:type="dxa"/>
            <w:tcBorders>
              <w:top w:val="single" w:sz="2" w:space="0" w:color="000000"/>
              <w:left w:val="single" w:sz="2" w:space="0" w:color="000000"/>
              <w:bottom w:val="single" w:sz="2" w:space="0" w:color="000000"/>
              <w:right w:val="single" w:sz="2" w:space="0" w:color="000000"/>
            </w:tcBorders>
          </w:tcPr>
          <w:p w14:paraId="6EE7CA05" w14:textId="77777777" w:rsidR="005E5C2F" w:rsidRPr="007454AA" w:rsidRDefault="005E5C2F" w:rsidP="00770482">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13.000</w:t>
            </w:r>
          </w:p>
        </w:tc>
      </w:tr>
      <w:tr w:rsidR="007454AA" w:rsidRPr="007454AA" w14:paraId="247C185B" w14:textId="77777777" w:rsidTr="00414221">
        <w:trPr>
          <w:trHeight w:val="326"/>
        </w:trPr>
        <w:tc>
          <w:tcPr>
            <w:tcW w:w="1377" w:type="dxa"/>
            <w:tcBorders>
              <w:top w:val="single" w:sz="2" w:space="0" w:color="000000"/>
              <w:left w:val="single" w:sz="2" w:space="0" w:color="000000"/>
              <w:bottom w:val="single" w:sz="2" w:space="0" w:color="000000"/>
              <w:right w:val="single" w:sz="2" w:space="0" w:color="000000"/>
            </w:tcBorders>
          </w:tcPr>
          <w:p w14:paraId="6255DAE0" w14:textId="77777777" w:rsidR="005E5C2F" w:rsidRPr="007454AA" w:rsidRDefault="005E5C2F" w:rsidP="00292ED5">
            <w:pPr>
              <w:ind w:left="79"/>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34</w:t>
            </w:r>
          </w:p>
        </w:tc>
        <w:tc>
          <w:tcPr>
            <w:tcW w:w="2493" w:type="dxa"/>
            <w:tcBorders>
              <w:top w:val="single" w:sz="2" w:space="0" w:color="000000"/>
              <w:left w:val="single" w:sz="2" w:space="0" w:color="000000"/>
              <w:bottom w:val="single" w:sz="2" w:space="0" w:color="000000"/>
              <w:right w:val="single" w:sz="2" w:space="0" w:color="000000"/>
            </w:tcBorders>
          </w:tcPr>
          <w:p w14:paraId="12BABAD0" w14:textId="77777777" w:rsidR="005E5C2F" w:rsidRPr="007454AA" w:rsidRDefault="005E5C2F" w:rsidP="00770482">
            <w:pPr>
              <w:ind w:left="14"/>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TIREAM</w:t>
            </w:r>
          </w:p>
        </w:tc>
        <w:tc>
          <w:tcPr>
            <w:tcW w:w="2160" w:type="dxa"/>
            <w:tcBorders>
              <w:top w:val="single" w:sz="2" w:space="0" w:color="000000"/>
              <w:left w:val="single" w:sz="2" w:space="0" w:color="000000"/>
              <w:bottom w:val="single" w:sz="2" w:space="0" w:color="000000"/>
              <w:right w:val="single" w:sz="2" w:space="0" w:color="000000"/>
            </w:tcBorders>
          </w:tcPr>
          <w:p w14:paraId="209D8592" w14:textId="77777777" w:rsidR="005E5C2F" w:rsidRPr="007454AA" w:rsidRDefault="005E5C2F" w:rsidP="00770482">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2.000</w:t>
            </w:r>
          </w:p>
        </w:tc>
        <w:tc>
          <w:tcPr>
            <w:tcW w:w="2160" w:type="dxa"/>
            <w:tcBorders>
              <w:top w:val="single" w:sz="2" w:space="0" w:color="000000"/>
              <w:left w:val="single" w:sz="2" w:space="0" w:color="000000"/>
              <w:bottom w:val="single" w:sz="2" w:space="0" w:color="000000"/>
              <w:right w:val="single" w:sz="2" w:space="0" w:color="000000"/>
            </w:tcBorders>
          </w:tcPr>
          <w:p w14:paraId="5619FADE" w14:textId="77777777" w:rsidR="005E5C2F" w:rsidRPr="007454AA" w:rsidRDefault="005E5C2F" w:rsidP="00770482">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3DBA05C4" w14:textId="77777777" w:rsidR="005E5C2F" w:rsidRPr="007454AA" w:rsidRDefault="005E5C2F" w:rsidP="00770482">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2.500</w:t>
            </w:r>
          </w:p>
        </w:tc>
      </w:tr>
      <w:tr w:rsidR="007454AA" w:rsidRPr="007454AA" w14:paraId="544B50D2" w14:textId="77777777" w:rsidTr="00414221">
        <w:trPr>
          <w:trHeight w:val="317"/>
        </w:trPr>
        <w:tc>
          <w:tcPr>
            <w:tcW w:w="1377" w:type="dxa"/>
            <w:tcBorders>
              <w:top w:val="single" w:sz="2" w:space="0" w:color="000000"/>
              <w:left w:val="single" w:sz="2" w:space="0" w:color="000000"/>
              <w:bottom w:val="single" w:sz="2" w:space="0" w:color="000000"/>
              <w:right w:val="single" w:sz="2" w:space="0" w:color="000000"/>
            </w:tcBorders>
          </w:tcPr>
          <w:p w14:paraId="47BF20F7" w14:textId="77777777" w:rsidR="005E5C2F" w:rsidRPr="007454AA" w:rsidRDefault="005E5C2F" w:rsidP="00292ED5">
            <w:pPr>
              <w:ind w:left="86"/>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lastRenderedPageBreak/>
              <w:t>35</w:t>
            </w:r>
          </w:p>
        </w:tc>
        <w:tc>
          <w:tcPr>
            <w:tcW w:w="2493" w:type="dxa"/>
            <w:tcBorders>
              <w:top w:val="single" w:sz="2" w:space="0" w:color="000000"/>
              <w:left w:val="single" w:sz="2" w:space="0" w:color="000000"/>
              <w:bottom w:val="single" w:sz="2" w:space="0" w:color="000000"/>
              <w:right w:val="single" w:sz="2" w:space="0" w:color="000000"/>
            </w:tcBorders>
          </w:tcPr>
          <w:p w14:paraId="0A608FA1" w14:textId="77777777" w:rsidR="005E5C2F" w:rsidRPr="007454AA" w:rsidRDefault="005E5C2F" w:rsidP="00770482">
            <w:pPr>
              <w:ind w:left="29"/>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MEDIEŞU AURIT</w:t>
            </w:r>
          </w:p>
        </w:tc>
        <w:tc>
          <w:tcPr>
            <w:tcW w:w="2160" w:type="dxa"/>
            <w:tcBorders>
              <w:top w:val="single" w:sz="2" w:space="0" w:color="000000"/>
              <w:left w:val="single" w:sz="2" w:space="0" w:color="000000"/>
              <w:bottom w:val="single" w:sz="2" w:space="0" w:color="000000"/>
              <w:right w:val="single" w:sz="2" w:space="0" w:color="000000"/>
            </w:tcBorders>
          </w:tcPr>
          <w:p w14:paraId="3572DC8B" w14:textId="77777777" w:rsidR="005E5C2F" w:rsidRPr="007454AA" w:rsidRDefault="005E5C2F" w:rsidP="00770482">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4.500</w:t>
            </w:r>
          </w:p>
        </w:tc>
        <w:tc>
          <w:tcPr>
            <w:tcW w:w="2160" w:type="dxa"/>
            <w:tcBorders>
              <w:top w:val="single" w:sz="2" w:space="0" w:color="000000"/>
              <w:left w:val="single" w:sz="2" w:space="0" w:color="000000"/>
              <w:bottom w:val="single" w:sz="2" w:space="0" w:color="000000"/>
              <w:right w:val="single" w:sz="2" w:space="0" w:color="000000"/>
            </w:tcBorders>
          </w:tcPr>
          <w:p w14:paraId="12839E29" w14:textId="77777777" w:rsidR="005E5C2F" w:rsidRPr="007454AA" w:rsidRDefault="005E5C2F" w:rsidP="00770482">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1.500</w:t>
            </w:r>
          </w:p>
        </w:tc>
        <w:tc>
          <w:tcPr>
            <w:tcW w:w="2340" w:type="dxa"/>
            <w:tcBorders>
              <w:top w:val="single" w:sz="2" w:space="0" w:color="000000"/>
              <w:left w:val="single" w:sz="2" w:space="0" w:color="000000"/>
              <w:bottom w:val="single" w:sz="2" w:space="0" w:color="000000"/>
              <w:right w:val="single" w:sz="2" w:space="0" w:color="000000"/>
            </w:tcBorders>
          </w:tcPr>
          <w:p w14:paraId="5E574051" w14:textId="77777777" w:rsidR="005E5C2F" w:rsidRPr="007454AA" w:rsidRDefault="005E5C2F" w:rsidP="00770482">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6.000</w:t>
            </w:r>
          </w:p>
        </w:tc>
      </w:tr>
      <w:tr w:rsidR="007454AA" w:rsidRPr="007454AA" w14:paraId="096F2C34" w14:textId="77777777" w:rsidTr="00414221">
        <w:trPr>
          <w:trHeight w:val="328"/>
        </w:trPr>
        <w:tc>
          <w:tcPr>
            <w:tcW w:w="1377" w:type="dxa"/>
            <w:tcBorders>
              <w:top w:val="single" w:sz="2" w:space="0" w:color="000000"/>
              <w:left w:val="single" w:sz="2" w:space="0" w:color="000000"/>
              <w:bottom w:val="single" w:sz="2" w:space="0" w:color="000000"/>
              <w:right w:val="single" w:sz="2" w:space="0" w:color="000000"/>
            </w:tcBorders>
          </w:tcPr>
          <w:p w14:paraId="6868699E" w14:textId="77777777" w:rsidR="005E5C2F" w:rsidRPr="007454AA" w:rsidRDefault="005E5C2F" w:rsidP="00292ED5">
            <w:pPr>
              <w:ind w:left="86"/>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36</w:t>
            </w:r>
          </w:p>
        </w:tc>
        <w:tc>
          <w:tcPr>
            <w:tcW w:w="2493" w:type="dxa"/>
            <w:tcBorders>
              <w:top w:val="single" w:sz="2" w:space="0" w:color="000000"/>
              <w:left w:val="single" w:sz="2" w:space="0" w:color="000000"/>
              <w:bottom w:val="single" w:sz="2" w:space="0" w:color="000000"/>
              <w:right w:val="single" w:sz="2" w:space="0" w:color="000000"/>
            </w:tcBorders>
          </w:tcPr>
          <w:p w14:paraId="08A8D0BB" w14:textId="77777777" w:rsidR="005E5C2F" w:rsidRPr="007454AA" w:rsidRDefault="005E5C2F" w:rsidP="00770482">
            <w:pPr>
              <w:ind w:left="14"/>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VALEA VINULUI</w:t>
            </w:r>
          </w:p>
        </w:tc>
        <w:tc>
          <w:tcPr>
            <w:tcW w:w="2160" w:type="dxa"/>
            <w:tcBorders>
              <w:top w:val="single" w:sz="2" w:space="0" w:color="000000"/>
              <w:left w:val="single" w:sz="2" w:space="0" w:color="000000"/>
              <w:bottom w:val="single" w:sz="2" w:space="0" w:color="000000"/>
              <w:right w:val="single" w:sz="2" w:space="0" w:color="000000"/>
            </w:tcBorders>
          </w:tcPr>
          <w:p w14:paraId="4F5C52DA" w14:textId="77777777" w:rsidR="005E5C2F" w:rsidRPr="007454AA" w:rsidRDefault="005E5C2F" w:rsidP="00770482">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2.000</w:t>
            </w:r>
          </w:p>
        </w:tc>
        <w:tc>
          <w:tcPr>
            <w:tcW w:w="2160" w:type="dxa"/>
            <w:tcBorders>
              <w:top w:val="single" w:sz="2" w:space="0" w:color="000000"/>
              <w:left w:val="single" w:sz="2" w:space="0" w:color="000000"/>
              <w:bottom w:val="single" w:sz="2" w:space="0" w:color="000000"/>
              <w:right w:val="single" w:sz="2" w:space="0" w:color="000000"/>
            </w:tcBorders>
          </w:tcPr>
          <w:p w14:paraId="23E34286" w14:textId="77777777" w:rsidR="005E5C2F" w:rsidRPr="007454AA" w:rsidRDefault="005E5C2F" w:rsidP="00770482">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1.500</w:t>
            </w:r>
          </w:p>
        </w:tc>
        <w:tc>
          <w:tcPr>
            <w:tcW w:w="2340" w:type="dxa"/>
            <w:tcBorders>
              <w:top w:val="single" w:sz="2" w:space="0" w:color="000000"/>
              <w:left w:val="single" w:sz="2" w:space="0" w:color="000000"/>
              <w:bottom w:val="single" w:sz="2" w:space="0" w:color="000000"/>
              <w:right w:val="single" w:sz="2" w:space="0" w:color="000000"/>
            </w:tcBorders>
          </w:tcPr>
          <w:p w14:paraId="607BD38A" w14:textId="77777777" w:rsidR="005E5C2F" w:rsidRPr="007454AA" w:rsidRDefault="005E5C2F" w:rsidP="00770482">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3.500</w:t>
            </w:r>
          </w:p>
        </w:tc>
      </w:tr>
      <w:tr w:rsidR="007454AA" w:rsidRPr="007454AA" w14:paraId="773628D8" w14:textId="77777777" w:rsidTr="00414221">
        <w:trPr>
          <w:trHeight w:val="319"/>
        </w:trPr>
        <w:tc>
          <w:tcPr>
            <w:tcW w:w="1377" w:type="dxa"/>
            <w:tcBorders>
              <w:top w:val="single" w:sz="2" w:space="0" w:color="000000"/>
              <w:left w:val="single" w:sz="2" w:space="0" w:color="000000"/>
              <w:bottom w:val="single" w:sz="2" w:space="0" w:color="000000"/>
              <w:right w:val="single" w:sz="2" w:space="0" w:color="000000"/>
            </w:tcBorders>
          </w:tcPr>
          <w:p w14:paraId="08FF7CEB" w14:textId="77777777" w:rsidR="005E5C2F" w:rsidRPr="007454AA" w:rsidRDefault="005E5C2F" w:rsidP="00292ED5">
            <w:pPr>
              <w:ind w:left="86"/>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37</w:t>
            </w:r>
          </w:p>
        </w:tc>
        <w:tc>
          <w:tcPr>
            <w:tcW w:w="2493" w:type="dxa"/>
            <w:tcBorders>
              <w:top w:val="single" w:sz="2" w:space="0" w:color="000000"/>
              <w:left w:val="single" w:sz="2" w:space="0" w:color="000000"/>
              <w:bottom w:val="single" w:sz="2" w:space="0" w:color="000000"/>
              <w:right w:val="single" w:sz="2" w:space="0" w:color="000000"/>
            </w:tcBorders>
          </w:tcPr>
          <w:p w14:paraId="4C67F56C" w14:textId="77777777" w:rsidR="005E5C2F" w:rsidRPr="007454AA" w:rsidRDefault="005E5C2F" w:rsidP="00770482">
            <w:pPr>
              <w:ind w:left="29"/>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BÂTARCI</w:t>
            </w:r>
          </w:p>
        </w:tc>
        <w:tc>
          <w:tcPr>
            <w:tcW w:w="2160" w:type="dxa"/>
            <w:tcBorders>
              <w:top w:val="single" w:sz="2" w:space="0" w:color="000000"/>
              <w:left w:val="single" w:sz="2" w:space="0" w:color="000000"/>
              <w:bottom w:val="single" w:sz="2" w:space="0" w:color="000000"/>
              <w:right w:val="single" w:sz="2" w:space="0" w:color="000000"/>
            </w:tcBorders>
          </w:tcPr>
          <w:p w14:paraId="4B3F16F6" w14:textId="4C01B8F8" w:rsidR="005E5C2F" w:rsidRPr="007454AA" w:rsidRDefault="008E01E6" w:rsidP="008E01E6">
            <w:pPr>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4.500</w:t>
            </w:r>
          </w:p>
        </w:tc>
        <w:tc>
          <w:tcPr>
            <w:tcW w:w="2160" w:type="dxa"/>
            <w:tcBorders>
              <w:top w:val="single" w:sz="2" w:space="0" w:color="000000"/>
              <w:left w:val="single" w:sz="2" w:space="0" w:color="000000"/>
              <w:bottom w:val="single" w:sz="2" w:space="0" w:color="000000"/>
              <w:right w:val="single" w:sz="2" w:space="0" w:color="000000"/>
            </w:tcBorders>
          </w:tcPr>
          <w:p w14:paraId="4E60B654" w14:textId="77777777" w:rsidR="005E5C2F" w:rsidRPr="007454AA" w:rsidRDefault="005E5C2F" w:rsidP="00770482">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6F3FA1FC" w14:textId="77777777" w:rsidR="005E5C2F" w:rsidRPr="007454AA" w:rsidRDefault="005E5C2F" w:rsidP="00770482">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5.000</w:t>
            </w:r>
          </w:p>
        </w:tc>
      </w:tr>
      <w:tr w:rsidR="007454AA" w:rsidRPr="007454AA" w14:paraId="338D115F" w14:textId="77777777" w:rsidTr="00414221">
        <w:trPr>
          <w:trHeight w:val="321"/>
        </w:trPr>
        <w:tc>
          <w:tcPr>
            <w:tcW w:w="1377" w:type="dxa"/>
            <w:tcBorders>
              <w:top w:val="single" w:sz="2" w:space="0" w:color="000000"/>
              <w:left w:val="single" w:sz="2" w:space="0" w:color="000000"/>
              <w:bottom w:val="single" w:sz="2" w:space="0" w:color="000000"/>
              <w:right w:val="single" w:sz="2" w:space="0" w:color="000000"/>
            </w:tcBorders>
          </w:tcPr>
          <w:p w14:paraId="73C9E0AD" w14:textId="77777777" w:rsidR="005E5C2F" w:rsidRPr="007454AA" w:rsidRDefault="005E5C2F" w:rsidP="00292ED5">
            <w:pPr>
              <w:ind w:left="86"/>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38</w:t>
            </w:r>
          </w:p>
        </w:tc>
        <w:tc>
          <w:tcPr>
            <w:tcW w:w="2493" w:type="dxa"/>
            <w:tcBorders>
              <w:top w:val="single" w:sz="2" w:space="0" w:color="000000"/>
              <w:left w:val="single" w:sz="2" w:space="0" w:color="000000"/>
              <w:bottom w:val="single" w:sz="2" w:space="0" w:color="000000"/>
              <w:right w:val="single" w:sz="2" w:space="0" w:color="000000"/>
            </w:tcBorders>
          </w:tcPr>
          <w:p w14:paraId="22BD3094" w14:textId="77777777" w:rsidR="005E5C2F" w:rsidRPr="007454AA" w:rsidRDefault="005E5C2F" w:rsidP="00770482">
            <w:pPr>
              <w:ind w:left="22"/>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SANTÂU</w:t>
            </w:r>
          </w:p>
        </w:tc>
        <w:tc>
          <w:tcPr>
            <w:tcW w:w="2160" w:type="dxa"/>
            <w:tcBorders>
              <w:top w:val="single" w:sz="2" w:space="0" w:color="000000"/>
              <w:left w:val="single" w:sz="2" w:space="0" w:color="000000"/>
              <w:bottom w:val="single" w:sz="2" w:space="0" w:color="000000"/>
              <w:right w:val="single" w:sz="2" w:space="0" w:color="000000"/>
            </w:tcBorders>
          </w:tcPr>
          <w:p w14:paraId="4EFD6E9D" w14:textId="77777777" w:rsidR="005E5C2F" w:rsidRPr="007454AA" w:rsidRDefault="005E5C2F" w:rsidP="00770482">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160" w:type="dxa"/>
            <w:tcBorders>
              <w:top w:val="single" w:sz="2" w:space="0" w:color="000000"/>
              <w:left w:val="single" w:sz="2" w:space="0" w:color="000000"/>
              <w:bottom w:val="single" w:sz="2" w:space="0" w:color="000000"/>
              <w:right w:val="single" w:sz="2" w:space="0" w:color="000000"/>
            </w:tcBorders>
          </w:tcPr>
          <w:p w14:paraId="6B89567F" w14:textId="77777777" w:rsidR="005E5C2F" w:rsidRPr="007454AA" w:rsidRDefault="005E5C2F" w:rsidP="00770482">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0EC841B2" w14:textId="77777777" w:rsidR="005E5C2F" w:rsidRPr="007454AA" w:rsidRDefault="005E5C2F" w:rsidP="00770482">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1.000</w:t>
            </w:r>
          </w:p>
        </w:tc>
      </w:tr>
      <w:tr w:rsidR="007454AA" w:rsidRPr="007454AA" w14:paraId="45DBAA77" w14:textId="77777777" w:rsidTr="00414221">
        <w:trPr>
          <w:trHeight w:val="326"/>
        </w:trPr>
        <w:tc>
          <w:tcPr>
            <w:tcW w:w="1377" w:type="dxa"/>
            <w:tcBorders>
              <w:top w:val="single" w:sz="2" w:space="0" w:color="000000"/>
              <w:left w:val="single" w:sz="2" w:space="0" w:color="000000"/>
              <w:bottom w:val="single" w:sz="2" w:space="0" w:color="000000"/>
              <w:right w:val="single" w:sz="2" w:space="0" w:color="000000"/>
            </w:tcBorders>
          </w:tcPr>
          <w:p w14:paraId="45E03CD5" w14:textId="77777777" w:rsidR="005E5C2F" w:rsidRPr="007454AA" w:rsidRDefault="005E5C2F" w:rsidP="00292ED5">
            <w:pPr>
              <w:ind w:left="86"/>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39</w:t>
            </w:r>
          </w:p>
        </w:tc>
        <w:tc>
          <w:tcPr>
            <w:tcW w:w="2493" w:type="dxa"/>
            <w:tcBorders>
              <w:top w:val="single" w:sz="2" w:space="0" w:color="000000"/>
              <w:left w:val="single" w:sz="2" w:space="0" w:color="000000"/>
              <w:bottom w:val="single" w:sz="2" w:space="0" w:color="000000"/>
              <w:right w:val="single" w:sz="2" w:space="0" w:color="000000"/>
            </w:tcBorders>
          </w:tcPr>
          <w:p w14:paraId="468A909E" w14:textId="77777777" w:rsidR="005E5C2F" w:rsidRPr="007454AA" w:rsidRDefault="005E5C2F" w:rsidP="00770482">
            <w:pPr>
              <w:ind w:left="14"/>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TARNA MARE</w:t>
            </w:r>
          </w:p>
        </w:tc>
        <w:tc>
          <w:tcPr>
            <w:tcW w:w="2160" w:type="dxa"/>
            <w:tcBorders>
              <w:top w:val="single" w:sz="2" w:space="0" w:color="000000"/>
              <w:left w:val="single" w:sz="2" w:space="0" w:color="000000"/>
              <w:bottom w:val="single" w:sz="2" w:space="0" w:color="000000"/>
              <w:right w:val="single" w:sz="2" w:space="0" w:color="000000"/>
            </w:tcBorders>
          </w:tcPr>
          <w:p w14:paraId="4CDAE40D" w14:textId="77777777" w:rsidR="005E5C2F" w:rsidRPr="007454AA" w:rsidRDefault="005E5C2F" w:rsidP="00770482">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6.000</w:t>
            </w:r>
          </w:p>
        </w:tc>
        <w:tc>
          <w:tcPr>
            <w:tcW w:w="2160" w:type="dxa"/>
            <w:tcBorders>
              <w:top w:val="single" w:sz="2" w:space="0" w:color="000000"/>
              <w:left w:val="single" w:sz="2" w:space="0" w:color="000000"/>
              <w:bottom w:val="single" w:sz="2" w:space="0" w:color="000000"/>
              <w:right w:val="single" w:sz="2" w:space="0" w:color="000000"/>
            </w:tcBorders>
          </w:tcPr>
          <w:p w14:paraId="046B9AB9" w14:textId="77777777" w:rsidR="005E5C2F" w:rsidRPr="007454AA" w:rsidRDefault="005E5C2F" w:rsidP="00770482">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2F1B5013" w14:textId="77777777" w:rsidR="005E5C2F" w:rsidRPr="007454AA" w:rsidRDefault="005E5C2F" w:rsidP="00770482">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6.500</w:t>
            </w:r>
          </w:p>
        </w:tc>
      </w:tr>
      <w:tr w:rsidR="007454AA" w:rsidRPr="007454AA" w14:paraId="5AF63AC1" w14:textId="77777777" w:rsidTr="00414221">
        <w:trPr>
          <w:trHeight w:val="324"/>
        </w:trPr>
        <w:tc>
          <w:tcPr>
            <w:tcW w:w="1377" w:type="dxa"/>
            <w:tcBorders>
              <w:top w:val="single" w:sz="2" w:space="0" w:color="000000"/>
              <w:left w:val="single" w:sz="2" w:space="0" w:color="000000"/>
              <w:bottom w:val="single" w:sz="2" w:space="0" w:color="000000"/>
              <w:right w:val="single" w:sz="2" w:space="0" w:color="000000"/>
            </w:tcBorders>
          </w:tcPr>
          <w:p w14:paraId="17276E9A" w14:textId="77777777" w:rsidR="005E5C2F" w:rsidRPr="007454AA" w:rsidRDefault="005E5C2F" w:rsidP="00292ED5">
            <w:pPr>
              <w:ind w:left="86"/>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40</w:t>
            </w:r>
          </w:p>
        </w:tc>
        <w:tc>
          <w:tcPr>
            <w:tcW w:w="2493" w:type="dxa"/>
            <w:tcBorders>
              <w:top w:val="single" w:sz="2" w:space="0" w:color="000000"/>
              <w:left w:val="single" w:sz="2" w:space="0" w:color="000000"/>
              <w:bottom w:val="single" w:sz="2" w:space="0" w:color="000000"/>
              <w:right w:val="single" w:sz="2" w:space="0" w:color="000000"/>
            </w:tcBorders>
          </w:tcPr>
          <w:p w14:paraId="5ECAB57A" w14:textId="77777777" w:rsidR="005E5C2F" w:rsidRPr="007454AA" w:rsidRDefault="005E5C2F" w:rsidP="00770482">
            <w:pPr>
              <w:ind w:left="22"/>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SOCOND</w:t>
            </w:r>
          </w:p>
        </w:tc>
        <w:tc>
          <w:tcPr>
            <w:tcW w:w="2160" w:type="dxa"/>
            <w:tcBorders>
              <w:top w:val="single" w:sz="2" w:space="0" w:color="000000"/>
              <w:left w:val="single" w:sz="2" w:space="0" w:color="000000"/>
              <w:bottom w:val="single" w:sz="2" w:space="0" w:color="000000"/>
              <w:right w:val="single" w:sz="2" w:space="0" w:color="000000"/>
            </w:tcBorders>
          </w:tcPr>
          <w:p w14:paraId="21A0F79E" w14:textId="77777777" w:rsidR="005E5C2F" w:rsidRPr="007454AA" w:rsidRDefault="005E5C2F" w:rsidP="00770482">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800</w:t>
            </w:r>
          </w:p>
        </w:tc>
        <w:tc>
          <w:tcPr>
            <w:tcW w:w="2160" w:type="dxa"/>
            <w:tcBorders>
              <w:top w:val="single" w:sz="2" w:space="0" w:color="000000"/>
              <w:left w:val="single" w:sz="2" w:space="0" w:color="000000"/>
              <w:bottom w:val="single" w:sz="2" w:space="0" w:color="000000"/>
              <w:right w:val="single" w:sz="2" w:space="0" w:color="000000"/>
            </w:tcBorders>
          </w:tcPr>
          <w:p w14:paraId="37482A43" w14:textId="77777777" w:rsidR="005E5C2F" w:rsidRPr="007454AA" w:rsidRDefault="005E5C2F" w:rsidP="00770482">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668A1937" w14:textId="77777777" w:rsidR="005E5C2F" w:rsidRPr="007454AA" w:rsidRDefault="005E5C2F" w:rsidP="00770482">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1.300</w:t>
            </w:r>
          </w:p>
        </w:tc>
      </w:tr>
      <w:tr w:rsidR="007454AA" w:rsidRPr="007454AA" w14:paraId="2075A57C" w14:textId="77777777" w:rsidTr="00414221">
        <w:trPr>
          <w:trHeight w:val="324"/>
        </w:trPr>
        <w:tc>
          <w:tcPr>
            <w:tcW w:w="1377" w:type="dxa"/>
            <w:tcBorders>
              <w:top w:val="single" w:sz="2" w:space="0" w:color="000000"/>
              <w:left w:val="single" w:sz="2" w:space="0" w:color="000000"/>
              <w:bottom w:val="single" w:sz="2" w:space="0" w:color="000000"/>
              <w:right w:val="single" w:sz="2" w:space="0" w:color="000000"/>
            </w:tcBorders>
          </w:tcPr>
          <w:p w14:paraId="3338EDE8" w14:textId="77777777" w:rsidR="005E5C2F" w:rsidRPr="007454AA" w:rsidRDefault="005E5C2F" w:rsidP="00292ED5">
            <w:pPr>
              <w:ind w:left="86"/>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41</w:t>
            </w:r>
          </w:p>
        </w:tc>
        <w:tc>
          <w:tcPr>
            <w:tcW w:w="2493" w:type="dxa"/>
            <w:tcBorders>
              <w:top w:val="single" w:sz="2" w:space="0" w:color="000000"/>
              <w:left w:val="single" w:sz="2" w:space="0" w:color="000000"/>
              <w:bottom w:val="single" w:sz="2" w:space="0" w:color="000000"/>
              <w:right w:val="single" w:sz="2" w:space="0" w:color="000000"/>
            </w:tcBorders>
          </w:tcPr>
          <w:p w14:paraId="2A0BB76C" w14:textId="77777777" w:rsidR="005E5C2F" w:rsidRPr="007454AA" w:rsidRDefault="005E5C2F" w:rsidP="00770482">
            <w:pPr>
              <w:ind w:left="36"/>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BOGDAND</w:t>
            </w:r>
          </w:p>
        </w:tc>
        <w:tc>
          <w:tcPr>
            <w:tcW w:w="2160" w:type="dxa"/>
            <w:tcBorders>
              <w:top w:val="single" w:sz="2" w:space="0" w:color="000000"/>
              <w:left w:val="single" w:sz="2" w:space="0" w:color="000000"/>
              <w:bottom w:val="single" w:sz="2" w:space="0" w:color="000000"/>
              <w:right w:val="single" w:sz="2" w:space="0" w:color="000000"/>
            </w:tcBorders>
          </w:tcPr>
          <w:p w14:paraId="1E88716B" w14:textId="77777777" w:rsidR="005E5C2F" w:rsidRPr="007454AA" w:rsidRDefault="005E5C2F" w:rsidP="00770482">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160" w:type="dxa"/>
            <w:tcBorders>
              <w:top w:val="single" w:sz="2" w:space="0" w:color="000000"/>
              <w:left w:val="single" w:sz="2" w:space="0" w:color="000000"/>
              <w:bottom w:val="single" w:sz="2" w:space="0" w:color="000000"/>
              <w:right w:val="single" w:sz="2" w:space="0" w:color="000000"/>
            </w:tcBorders>
          </w:tcPr>
          <w:p w14:paraId="7373DEC6" w14:textId="77777777" w:rsidR="005E5C2F" w:rsidRPr="007454AA" w:rsidRDefault="005E5C2F" w:rsidP="00770482">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3F364804" w14:textId="77777777" w:rsidR="005E5C2F" w:rsidRPr="007454AA" w:rsidRDefault="005E5C2F" w:rsidP="00770482">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1.000</w:t>
            </w:r>
          </w:p>
        </w:tc>
      </w:tr>
      <w:tr w:rsidR="007454AA" w:rsidRPr="007454AA" w14:paraId="3A793794" w14:textId="77777777" w:rsidTr="00414221">
        <w:trPr>
          <w:trHeight w:val="324"/>
        </w:trPr>
        <w:tc>
          <w:tcPr>
            <w:tcW w:w="1377" w:type="dxa"/>
            <w:tcBorders>
              <w:top w:val="single" w:sz="2" w:space="0" w:color="000000"/>
              <w:left w:val="single" w:sz="2" w:space="0" w:color="000000"/>
              <w:bottom w:val="single" w:sz="2" w:space="0" w:color="000000"/>
              <w:right w:val="single" w:sz="2" w:space="0" w:color="000000"/>
            </w:tcBorders>
          </w:tcPr>
          <w:p w14:paraId="5C5A4C54" w14:textId="77777777" w:rsidR="005E5C2F" w:rsidRPr="007454AA" w:rsidRDefault="005E5C2F" w:rsidP="00292ED5">
            <w:pPr>
              <w:ind w:left="86"/>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42</w:t>
            </w:r>
          </w:p>
        </w:tc>
        <w:tc>
          <w:tcPr>
            <w:tcW w:w="2493" w:type="dxa"/>
            <w:tcBorders>
              <w:top w:val="single" w:sz="2" w:space="0" w:color="000000"/>
              <w:left w:val="single" w:sz="2" w:space="0" w:color="000000"/>
              <w:bottom w:val="single" w:sz="2" w:space="0" w:color="000000"/>
              <w:right w:val="single" w:sz="2" w:space="0" w:color="000000"/>
            </w:tcBorders>
          </w:tcPr>
          <w:p w14:paraId="0F2F1AE5" w14:textId="77777777" w:rsidR="005E5C2F" w:rsidRPr="007454AA" w:rsidRDefault="005E5C2F" w:rsidP="00770482">
            <w:pPr>
              <w:ind w:left="29"/>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PORUMBEŞTI</w:t>
            </w:r>
          </w:p>
        </w:tc>
        <w:tc>
          <w:tcPr>
            <w:tcW w:w="2160" w:type="dxa"/>
            <w:tcBorders>
              <w:top w:val="single" w:sz="2" w:space="0" w:color="000000"/>
              <w:left w:val="single" w:sz="2" w:space="0" w:color="000000"/>
              <w:bottom w:val="single" w:sz="2" w:space="0" w:color="000000"/>
              <w:right w:val="single" w:sz="2" w:space="0" w:color="000000"/>
            </w:tcBorders>
          </w:tcPr>
          <w:p w14:paraId="1D2777A5" w14:textId="77777777" w:rsidR="005E5C2F" w:rsidRPr="007454AA" w:rsidRDefault="005E5C2F" w:rsidP="00770482">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160" w:type="dxa"/>
            <w:tcBorders>
              <w:top w:val="single" w:sz="2" w:space="0" w:color="000000"/>
              <w:left w:val="single" w:sz="2" w:space="0" w:color="000000"/>
              <w:bottom w:val="single" w:sz="2" w:space="0" w:color="000000"/>
              <w:right w:val="single" w:sz="2" w:space="0" w:color="000000"/>
            </w:tcBorders>
          </w:tcPr>
          <w:p w14:paraId="0E25AE1D" w14:textId="77777777" w:rsidR="005E5C2F" w:rsidRPr="007454AA" w:rsidRDefault="005E5C2F" w:rsidP="00770482">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569558B7" w14:textId="77777777" w:rsidR="005E5C2F" w:rsidRPr="007454AA" w:rsidRDefault="005E5C2F" w:rsidP="00770482">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1.000</w:t>
            </w:r>
          </w:p>
        </w:tc>
      </w:tr>
      <w:tr w:rsidR="007454AA" w:rsidRPr="007454AA" w14:paraId="579B305A" w14:textId="77777777" w:rsidTr="00414221">
        <w:trPr>
          <w:trHeight w:val="321"/>
        </w:trPr>
        <w:tc>
          <w:tcPr>
            <w:tcW w:w="1377" w:type="dxa"/>
            <w:tcBorders>
              <w:top w:val="single" w:sz="2" w:space="0" w:color="000000"/>
              <w:left w:val="single" w:sz="2" w:space="0" w:color="000000"/>
              <w:bottom w:val="single" w:sz="2" w:space="0" w:color="000000"/>
              <w:right w:val="single" w:sz="2" w:space="0" w:color="000000"/>
            </w:tcBorders>
          </w:tcPr>
          <w:p w14:paraId="5755ED19" w14:textId="77777777" w:rsidR="005E5C2F" w:rsidRPr="007454AA" w:rsidRDefault="005E5C2F" w:rsidP="00292ED5">
            <w:pPr>
              <w:ind w:left="86"/>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43</w:t>
            </w:r>
          </w:p>
        </w:tc>
        <w:tc>
          <w:tcPr>
            <w:tcW w:w="2493" w:type="dxa"/>
            <w:tcBorders>
              <w:top w:val="single" w:sz="2" w:space="0" w:color="000000"/>
              <w:left w:val="single" w:sz="2" w:space="0" w:color="000000"/>
              <w:bottom w:val="single" w:sz="2" w:space="0" w:color="000000"/>
              <w:right w:val="single" w:sz="2" w:space="0" w:color="000000"/>
            </w:tcBorders>
          </w:tcPr>
          <w:p w14:paraId="1675CB1A" w14:textId="77777777" w:rsidR="005E5C2F" w:rsidRPr="007454AA" w:rsidRDefault="005E5C2F" w:rsidP="00770482">
            <w:pPr>
              <w:ind w:left="36"/>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BÂRSÂU</w:t>
            </w:r>
          </w:p>
        </w:tc>
        <w:tc>
          <w:tcPr>
            <w:tcW w:w="2160" w:type="dxa"/>
            <w:tcBorders>
              <w:top w:val="single" w:sz="2" w:space="0" w:color="000000"/>
              <w:left w:val="single" w:sz="2" w:space="0" w:color="000000"/>
              <w:bottom w:val="single" w:sz="2" w:space="0" w:color="000000"/>
              <w:right w:val="single" w:sz="2" w:space="0" w:color="000000"/>
            </w:tcBorders>
          </w:tcPr>
          <w:p w14:paraId="3FFD50F4" w14:textId="77777777" w:rsidR="005E5C2F" w:rsidRPr="007454AA" w:rsidRDefault="005E5C2F" w:rsidP="00770482">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160" w:type="dxa"/>
            <w:tcBorders>
              <w:top w:val="single" w:sz="2" w:space="0" w:color="000000"/>
              <w:left w:val="single" w:sz="2" w:space="0" w:color="000000"/>
              <w:bottom w:val="single" w:sz="2" w:space="0" w:color="000000"/>
              <w:right w:val="single" w:sz="2" w:space="0" w:color="000000"/>
            </w:tcBorders>
          </w:tcPr>
          <w:p w14:paraId="7417766E" w14:textId="77777777" w:rsidR="005E5C2F" w:rsidRPr="007454AA" w:rsidRDefault="005E5C2F" w:rsidP="00770482">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43275957" w14:textId="77777777" w:rsidR="005E5C2F" w:rsidRPr="007454AA" w:rsidRDefault="005E5C2F" w:rsidP="00770482">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1.000</w:t>
            </w:r>
          </w:p>
        </w:tc>
      </w:tr>
      <w:tr w:rsidR="007454AA" w:rsidRPr="007454AA" w14:paraId="199D6AE7" w14:textId="77777777" w:rsidTr="00414221">
        <w:trPr>
          <w:trHeight w:val="317"/>
        </w:trPr>
        <w:tc>
          <w:tcPr>
            <w:tcW w:w="1377" w:type="dxa"/>
            <w:tcBorders>
              <w:top w:val="single" w:sz="2" w:space="0" w:color="000000"/>
              <w:left w:val="single" w:sz="2" w:space="0" w:color="000000"/>
              <w:bottom w:val="single" w:sz="2" w:space="0" w:color="000000"/>
              <w:right w:val="single" w:sz="2" w:space="0" w:color="000000"/>
            </w:tcBorders>
          </w:tcPr>
          <w:p w14:paraId="779ACD0D" w14:textId="77777777" w:rsidR="005E5C2F" w:rsidRPr="007454AA" w:rsidRDefault="005E5C2F" w:rsidP="00292ED5">
            <w:pPr>
              <w:ind w:left="86"/>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44</w:t>
            </w:r>
          </w:p>
        </w:tc>
        <w:tc>
          <w:tcPr>
            <w:tcW w:w="2493" w:type="dxa"/>
            <w:tcBorders>
              <w:top w:val="single" w:sz="2" w:space="0" w:color="000000"/>
              <w:left w:val="single" w:sz="2" w:space="0" w:color="000000"/>
              <w:bottom w:val="single" w:sz="2" w:space="0" w:color="000000"/>
              <w:right w:val="single" w:sz="2" w:space="0" w:color="000000"/>
            </w:tcBorders>
          </w:tcPr>
          <w:p w14:paraId="08B95C32" w14:textId="77777777" w:rsidR="005E5C2F" w:rsidRPr="007454AA" w:rsidRDefault="005E5C2F" w:rsidP="00770482">
            <w:pPr>
              <w:ind w:left="14"/>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TÂRŞOLT</w:t>
            </w:r>
          </w:p>
        </w:tc>
        <w:tc>
          <w:tcPr>
            <w:tcW w:w="2160" w:type="dxa"/>
            <w:tcBorders>
              <w:top w:val="single" w:sz="2" w:space="0" w:color="000000"/>
              <w:left w:val="single" w:sz="2" w:space="0" w:color="000000"/>
              <w:bottom w:val="single" w:sz="2" w:space="0" w:color="000000"/>
              <w:right w:val="single" w:sz="2" w:space="0" w:color="000000"/>
            </w:tcBorders>
          </w:tcPr>
          <w:p w14:paraId="4A129001" w14:textId="77777777" w:rsidR="005E5C2F" w:rsidRPr="007454AA" w:rsidRDefault="005E5C2F" w:rsidP="00770482">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160" w:type="dxa"/>
            <w:tcBorders>
              <w:top w:val="single" w:sz="2" w:space="0" w:color="000000"/>
              <w:left w:val="single" w:sz="2" w:space="0" w:color="000000"/>
              <w:bottom w:val="single" w:sz="2" w:space="0" w:color="000000"/>
              <w:right w:val="single" w:sz="2" w:space="0" w:color="000000"/>
            </w:tcBorders>
          </w:tcPr>
          <w:p w14:paraId="452B45CA" w14:textId="77777777" w:rsidR="005E5C2F" w:rsidRPr="007454AA" w:rsidRDefault="005E5C2F" w:rsidP="00770482">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28211E8A" w14:textId="77777777" w:rsidR="005E5C2F" w:rsidRPr="007454AA" w:rsidRDefault="005E5C2F" w:rsidP="00770482">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1.000</w:t>
            </w:r>
          </w:p>
        </w:tc>
      </w:tr>
      <w:tr w:rsidR="007454AA" w:rsidRPr="007454AA" w14:paraId="5BDDB91E" w14:textId="77777777" w:rsidTr="00414221">
        <w:trPr>
          <w:trHeight w:val="326"/>
        </w:trPr>
        <w:tc>
          <w:tcPr>
            <w:tcW w:w="1377" w:type="dxa"/>
            <w:tcBorders>
              <w:top w:val="single" w:sz="2" w:space="0" w:color="000000"/>
              <w:left w:val="single" w:sz="2" w:space="0" w:color="000000"/>
              <w:bottom w:val="single" w:sz="2" w:space="0" w:color="000000"/>
              <w:right w:val="single" w:sz="2" w:space="0" w:color="000000"/>
            </w:tcBorders>
          </w:tcPr>
          <w:p w14:paraId="471AE06E" w14:textId="77777777" w:rsidR="005E5C2F" w:rsidRPr="007454AA" w:rsidRDefault="005E5C2F" w:rsidP="00292ED5">
            <w:pPr>
              <w:ind w:left="86"/>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45</w:t>
            </w:r>
          </w:p>
        </w:tc>
        <w:tc>
          <w:tcPr>
            <w:tcW w:w="2493" w:type="dxa"/>
            <w:tcBorders>
              <w:top w:val="single" w:sz="2" w:space="0" w:color="000000"/>
              <w:left w:val="single" w:sz="2" w:space="0" w:color="000000"/>
              <w:bottom w:val="single" w:sz="2" w:space="0" w:color="000000"/>
              <w:right w:val="single" w:sz="2" w:space="0" w:color="000000"/>
            </w:tcBorders>
          </w:tcPr>
          <w:p w14:paraId="6D20C4DC" w14:textId="77777777" w:rsidR="005E5C2F" w:rsidRPr="007454AA" w:rsidRDefault="005E5C2F" w:rsidP="00770482">
            <w:pPr>
              <w:ind w:left="29"/>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CÂMÂRZANA</w:t>
            </w:r>
          </w:p>
        </w:tc>
        <w:tc>
          <w:tcPr>
            <w:tcW w:w="2160" w:type="dxa"/>
            <w:tcBorders>
              <w:top w:val="single" w:sz="2" w:space="0" w:color="000000"/>
              <w:left w:val="single" w:sz="2" w:space="0" w:color="000000"/>
              <w:bottom w:val="single" w:sz="2" w:space="0" w:color="000000"/>
              <w:right w:val="single" w:sz="2" w:space="0" w:color="000000"/>
            </w:tcBorders>
          </w:tcPr>
          <w:p w14:paraId="1D2D1127" w14:textId="77777777" w:rsidR="005E5C2F" w:rsidRPr="007454AA" w:rsidRDefault="005E5C2F" w:rsidP="00770482">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160" w:type="dxa"/>
            <w:tcBorders>
              <w:top w:val="single" w:sz="2" w:space="0" w:color="000000"/>
              <w:left w:val="single" w:sz="2" w:space="0" w:color="000000"/>
              <w:bottom w:val="single" w:sz="2" w:space="0" w:color="000000"/>
              <w:right w:val="single" w:sz="2" w:space="0" w:color="000000"/>
            </w:tcBorders>
          </w:tcPr>
          <w:p w14:paraId="64F7C7ED" w14:textId="77777777" w:rsidR="005E5C2F" w:rsidRPr="007454AA" w:rsidRDefault="005E5C2F" w:rsidP="00770482">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10BDC93C" w14:textId="77777777" w:rsidR="005E5C2F" w:rsidRPr="007454AA" w:rsidRDefault="005E5C2F" w:rsidP="00770482">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1.000</w:t>
            </w:r>
          </w:p>
        </w:tc>
      </w:tr>
      <w:tr w:rsidR="007454AA" w:rsidRPr="007454AA" w14:paraId="08053AF4" w14:textId="77777777" w:rsidTr="00414221">
        <w:trPr>
          <w:trHeight w:val="321"/>
        </w:trPr>
        <w:tc>
          <w:tcPr>
            <w:tcW w:w="1377" w:type="dxa"/>
            <w:tcBorders>
              <w:top w:val="single" w:sz="2" w:space="0" w:color="000000"/>
              <w:left w:val="single" w:sz="2" w:space="0" w:color="000000"/>
              <w:bottom w:val="single" w:sz="2" w:space="0" w:color="000000"/>
              <w:right w:val="single" w:sz="2" w:space="0" w:color="000000"/>
            </w:tcBorders>
          </w:tcPr>
          <w:p w14:paraId="6413A82F" w14:textId="77777777" w:rsidR="005E5C2F" w:rsidRPr="007454AA" w:rsidRDefault="005E5C2F" w:rsidP="00292ED5">
            <w:pPr>
              <w:ind w:left="86"/>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46</w:t>
            </w:r>
          </w:p>
        </w:tc>
        <w:tc>
          <w:tcPr>
            <w:tcW w:w="2493" w:type="dxa"/>
            <w:tcBorders>
              <w:top w:val="single" w:sz="2" w:space="0" w:color="000000"/>
              <w:left w:val="single" w:sz="2" w:space="0" w:color="000000"/>
              <w:bottom w:val="single" w:sz="2" w:space="0" w:color="000000"/>
              <w:right w:val="single" w:sz="2" w:space="0" w:color="000000"/>
            </w:tcBorders>
          </w:tcPr>
          <w:p w14:paraId="61280FAE" w14:textId="77777777" w:rsidR="005E5C2F" w:rsidRPr="007454AA" w:rsidRDefault="005E5C2F" w:rsidP="00770482">
            <w:pPr>
              <w:ind w:left="29"/>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CEHAL</w:t>
            </w:r>
          </w:p>
        </w:tc>
        <w:tc>
          <w:tcPr>
            <w:tcW w:w="2160" w:type="dxa"/>
            <w:tcBorders>
              <w:top w:val="single" w:sz="2" w:space="0" w:color="000000"/>
              <w:left w:val="single" w:sz="2" w:space="0" w:color="000000"/>
              <w:bottom w:val="single" w:sz="2" w:space="0" w:color="000000"/>
              <w:right w:val="single" w:sz="2" w:space="0" w:color="000000"/>
            </w:tcBorders>
          </w:tcPr>
          <w:p w14:paraId="58EE62AC" w14:textId="77777777" w:rsidR="005E5C2F" w:rsidRPr="007454AA" w:rsidRDefault="005E5C2F" w:rsidP="00770482">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160" w:type="dxa"/>
            <w:tcBorders>
              <w:top w:val="single" w:sz="2" w:space="0" w:color="000000"/>
              <w:left w:val="single" w:sz="2" w:space="0" w:color="000000"/>
              <w:bottom w:val="single" w:sz="2" w:space="0" w:color="000000"/>
              <w:right w:val="single" w:sz="2" w:space="0" w:color="000000"/>
            </w:tcBorders>
          </w:tcPr>
          <w:p w14:paraId="4C4C3FDE" w14:textId="77777777" w:rsidR="005E5C2F" w:rsidRPr="007454AA" w:rsidRDefault="005E5C2F" w:rsidP="00770482">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243B0A42" w14:textId="77777777" w:rsidR="005E5C2F" w:rsidRPr="007454AA" w:rsidRDefault="005E5C2F" w:rsidP="00770482">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1.000</w:t>
            </w:r>
          </w:p>
        </w:tc>
      </w:tr>
      <w:tr w:rsidR="007454AA" w:rsidRPr="007454AA" w14:paraId="19E6E7AA" w14:textId="77777777" w:rsidTr="00414221">
        <w:trPr>
          <w:trHeight w:val="326"/>
        </w:trPr>
        <w:tc>
          <w:tcPr>
            <w:tcW w:w="1377" w:type="dxa"/>
            <w:tcBorders>
              <w:top w:val="single" w:sz="2" w:space="0" w:color="000000"/>
              <w:left w:val="single" w:sz="2" w:space="0" w:color="000000"/>
              <w:bottom w:val="single" w:sz="2" w:space="0" w:color="000000"/>
              <w:right w:val="single" w:sz="2" w:space="0" w:color="000000"/>
            </w:tcBorders>
          </w:tcPr>
          <w:p w14:paraId="4BB3663A" w14:textId="77777777" w:rsidR="005E5C2F" w:rsidRPr="007454AA" w:rsidRDefault="005E5C2F" w:rsidP="00292ED5">
            <w:pPr>
              <w:ind w:left="86"/>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47</w:t>
            </w:r>
          </w:p>
        </w:tc>
        <w:tc>
          <w:tcPr>
            <w:tcW w:w="2493" w:type="dxa"/>
            <w:tcBorders>
              <w:top w:val="single" w:sz="2" w:space="0" w:color="000000"/>
              <w:left w:val="single" w:sz="2" w:space="0" w:color="000000"/>
              <w:bottom w:val="single" w:sz="2" w:space="0" w:color="000000"/>
              <w:right w:val="single" w:sz="2" w:space="0" w:color="000000"/>
            </w:tcBorders>
          </w:tcPr>
          <w:p w14:paraId="3C6592C4" w14:textId="02636C2D" w:rsidR="005E5C2F" w:rsidRPr="007454AA" w:rsidRDefault="00106941" w:rsidP="00770482">
            <w:pPr>
              <w:ind w:left="22"/>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AGR</w:t>
            </w:r>
            <w:r w:rsidR="008E01E6" w:rsidRPr="007454AA">
              <w:rPr>
                <w:rFonts w:ascii="Times New Roman" w:eastAsia="Times New Roman" w:hAnsi="Times New Roman" w:cs="Times New Roman"/>
                <w:sz w:val="20"/>
                <w:szCs w:val="20"/>
                <w:lang w:val="ro-RO"/>
              </w:rPr>
              <w:t>IȘ</w:t>
            </w:r>
          </w:p>
        </w:tc>
        <w:tc>
          <w:tcPr>
            <w:tcW w:w="2160" w:type="dxa"/>
            <w:tcBorders>
              <w:top w:val="single" w:sz="2" w:space="0" w:color="000000"/>
              <w:left w:val="single" w:sz="2" w:space="0" w:color="000000"/>
              <w:bottom w:val="single" w:sz="2" w:space="0" w:color="000000"/>
              <w:right w:val="single" w:sz="2" w:space="0" w:color="000000"/>
            </w:tcBorders>
          </w:tcPr>
          <w:p w14:paraId="1FBC3EEC" w14:textId="77777777" w:rsidR="005E5C2F" w:rsidRPr="007454AA" w:rsidRDefault="005E5C2F" w:rsidP="00770482">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3.000</w:t>
            </w:r>
          </w:p>
        </w:tc>
        <w:tc>
          <w:tcPr>
            <w:tcW w:w="2160" w:type="dxa"/>
            <w:tcBorders>
              <w:top w:val="single" w:sz="2" w:space="0" w:color="000000"/>
              <w:left w:val="single" w:sz="2" w:space="0" w:color="000000"/>
              <w:bottom w:val="single" w:sz="2" w:space="0" w:color="000000"/>
              <w:right w:val="single" w:sz="2" w:space="0" w:color="000000"/>
            </w:tcBorders>
          </w:tcPr>
          <w:p w14:paraId="13C6B5C9" w14:textId="77777777" w:rsidR="005E5C2F" w:rsidRPr="007454AA" w:rsidRDefault="005E5C2F" w:rsidP="00770482">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2.500</w:t>
            </w:r>
          </w:p>
        </w:tc>
        <w:tc>
          <w:tcPr>
            <w:tcW w:w="2340" w:type="dxa"/>
            <w:tcBorders>
              <w:top w:val="single" w:sz="2" w:space="0" w:color="000000"/>
              <w:left w:val="single" w:sz="2" w:space="0" w:color="000000"/>
              <w:bottom w:val="single" w:sz="2" w:space="0" w:color="000000"/>
              <w:right w:val="single" w:sz="2" w:space="0" w:color="000000"/>
            </w:tcBorders>
          </w:tcPr>
          <w:p w14:paraId="49388F86" w14:textId="77777777" w:rsidR="005E5C2F" w:rsidRPr="007454AA" w:rsidRDefault="005E5C2F" w:rsidP="00770482">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5.500</w:t>
            </w:r>
          </w:p>
        </w:tc>
      </w:tr>
      <w:tr w:rsidR="007454AA" w:rsidRPr="007454AA" w14:paraId="5D59AAE6" w14:textId="77777777" w:rsidTr="00414221">
        <w:trPr>
          <w:trHeight w:val="328"/>
        </w:trPr>
        <w:tc>
          <w:tcPr>
            <w:tcW w:w="1377" w:type="dxa"/>
            <w:tcBorders>
              <w:top w:val="single" w:sz="2" w:space="0" w:color="000000"/>
              <w:left w:val="single" w:sz="2" w:space="0" w:color="000000"/>
              <w:bottom w:val="single" w:sz="2" w:space="0" w:color="000000"/>
              <w:right w:val="single" w:sz="2" w:space="0" w:color="000000"/>
            </w:tcBorders>
          </w:tcPr>
          <w:p w14:paraId="4A523262" w14:textId="77777777" w:rsidR="005E5C2F" w:rsidRPr="007454AA" w:rsidRDefault="005E5C2F" w:rsidP="00292ED5">
            <w:pPr>
              <w:ind w:left="86"/>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48</w:t>
            </w:r>
          </w:p>
        </w:tc>
        <w:tc>
          <w:tcPr>
            <w:tcW w:w="2493" w:type="dxa"/>
            <w:tcBorders>
              <w:top w:val="single" w:sz="2" w:space="0" w:color="000000"/>
              <w:left w:val="single" w:sz="2" w:space="0" w:color="000000"/>
              <w:bottom w:val="single" w:sz="2" w:space="0" w:color="000000"/>
              <w:right w:val="single" w:sz="2" w:space="0" w:color="000000"/>
            </w:tcBorders>
          </w:tcPr>
          <w:p w14:paraId="4E63BA55" w14:textId="77777777" w:rsidR="005E5C2F" w:rsidRPr="007454AA" w:rsidRDefault="005E5C2F" w:rsidP="00770482">
            <w:pPr>
              <w:ind w:left="22"/>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APA</w:t>
            </w:r>
          </w:p>
        </w:tc>
        <w:tc>
          <w:tcPr>
            <w:tcW w:w="2160" w:type="dxa"/>
            <w:tcBorders>
              <w:top w:val="single" w:sz="2" w:space="0" w:color="000000"/>
              <w:left w:val="single" w:sz="2" w:space="0" w:color="000000"/>
              <w:bottom w:val="single" w:sz="2" w:space="0" w:color="000000"/>
              <w:right w:val="single" w:sz="2" w:space="0" w:color="000000"/>
            </w:tcBorders>
          </w:tcPr>
          <w:p w14:paraId="62F03BD3" w14:textId="77777777" w:rsidR="005E5C2F" w:rsidRPr="007454AA" w:rsidRDefault="005E5C2F" w:rsidP="00770482">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2.500</w:t>
            </w:r>
          </w:p>
        </w:tc>
        <w:tc>
          <w:tcPr>
            <w:tcW w:w="2160" w:type="dxa"/>
            <w:tcBorders>
              <w:top w:val="single" w:sz="2" w:space="0" w:color="000000"/>
              <w:left w:val="single" w:sz="2" w:space="0" w:color="000000"/>
              <w:bottom w:val="single" w:sz="2" w:space="0" w:color="000000"/>
              <w:right w:val="single" w:sz="2" w:space="0" w:color="000000"/>
            </w:tcBorders>
          </w:tcPr>
          <w:p w14:paraId="3533EB8A" w14:textId="77777777" w:rsidR="005E5C2F" w:rsidRPr="007454AA" w:rsidRDefault="005E5C2F" w:rsidP="00770482">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2.000</w:t>
            </w:r>
          </w:p>
        </w:tc>
        <w:tc>
          <w:tcPr>
            <w:tcW w:w="2340" w:type="dxa"/>
            <w:tcBorders>
              <w:top w:val="single" w:sz="2" w:space="0" w:color="000000"/>
              <w:left w:val="single" w:sz="2" w:space="0" w:color="000000"/>
              <w:bottom w:val="single" w:sz="2" w:space="0" w:color="000000"/>
              <w:right w:val="single" w:sz="2" w:space="0" w:color="000000"/>
            </w:tcBorders>
          </w:tcPr>
          <w:p w14:paraId="23DFD777" w14:textId="77777777" w:rsidR="005E5C2F" w:rsidRPr="007454AA" w:rsidRDefault="005E5C2F" w:rsidP="00770482">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4.500</w:t>
            </w:r>
          </w:p>
        </w:tc>
      </w:tr>
      <w:tr w:rsidR="007454AA" w:rsidRPr="007454AA" w14:paraId="0F6823C1" w14:textId="77777777" w:rsidTr="00414221">
        <w:trPr>
          <w:trHeight w:val="324"/>
        </w:trPr>
        <w:tc>
          <w:tcPr>
            <w:tcW w:w="1377" w:type="dxa"/>
            <w:tcBorders>
              <w:top w:val="single" w:sz="2" w:space="0" w:color="000000"/>
              <w:left w:val="single" w:sz="2" w:space="0" w:color="000000"/>
              <w:bottom w:val="single" w:sz="2" w:space="0" w:color="000000"/>
              <w:right w:val="single" w:sz="2" w:space="0" w:color="000000"/>
            </w:tcBorders>
          </w:tcPr>
          <w:p w14:paraId="53FE1C02" w14:textId="77777777" w:rsidR="005E5C2F" w:rsidRPr="007454AA" w:rsidRDefault="005E5C2F" w:rsidP="00292ED5">
            <w:pPr>
              <w:ind w:left="86"/>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49</w:t>
            </w:r>
          </w:p>
        </w:tc>
        <w:tc>
          <w:tcPr>
            <w:tcW w:w="2493" w:type="dxa"/>
            <w:tcBorders>
              <w:top w:val="single" w:sz="2" w:space="0" w:color="000000"/>
              <w:left w:val="single" w:sz="2" w:space="0" w:color="000000"/>
              <w:bottom w:val="single" w:sz="2" w:space="0" w:color="000000"/>
              <w:right w:val="single" w:sz="2" w:space="0" w:color="000000"/>
            </w:tcBorders>
          </w:tcPr>
          <w:p w14:paraId="56856C7D" w14:textId="77777777" w:rsidR="005E5C2F" w:rsidRPr="007454AA" w:rsidRDefault="005E5C2F" w:rsidP="00770482">
            <w:pPr>
              <w:ind w:left="36"/>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PETREŞTI</w:t>
            </w:r>
          </w:p>
        </w:tc>
        <w:tc>
          <w:tcPr>
            <w:tcW w:w="2160" w:type="dxa"/>
            <w:tcBorders>
              <w:top w:val="single" w:sz="2" w:space="0" w:color="000000"/>
              <w:left w:val="single" w:sz="2" w:space="0" w:color="000000"/>
              <w:bottom w:val="single" w:sz="2" w:space="0" w:color="000000"/>
              <w:right w:val="single" w:sz="2" w:space="0" w:color="000000"/>
            </w:tcBorders>
          </w:tcPr>
          <w:p w14:paraId="579FE99A" w14:textId="77777777" w:rsidR="005E5C2F" w:rsidRPr="007454AA" w:rsidRDefault="005E5C2F" w:rsidP="00770482">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160" w:type="dxa"/>
            <w:tcBorders>
              <w:top w:val="single" w:sz="2" w:space="0" w:color="000000"/>
              <w:left w:val="single" w:sz="2" w:space="0" w:color="000000"/>
              <w:bottom w:val="single" w:sz="2" w:space="0" w:color="000000"/>
              <w:right w:val="single" w:sz="2" w:space="0" w:color="000000"/>
            </w:tcBorders>
          </w:tcPr>
          <w:p w14:paraId="2CD18BE4" w14:textId="77777777" w:rsidR="005E5C2F" w:rsidRPr="007454AA" w:rsidRDefault="005E5C2F" w:rsidP="00770482">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7DF08696" w14:textId="77777777" w:rsidR="005E5C2F" w:rsidRPr="007454AA" w:rsidRDefault="005E5C2F" w:rsidP="00770482">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1.000</w:t>
            </w:r>
          </w:p>
        </w:tc>
      </w:tr>
      <w:tr w:rsidR="007454AA" w:rsidRPr="007454AA" w14:paraId="579C1A15" w14:textId="77777777" w:rsidTr="00414221">
        <w:trPr>
          <w:trHeight w:val="331"/>
        </w:trPr>
        <w:tc>
          <w:tcPr>
            <w:tcW w:w="1377" w:type="dxa"/>
            <w:tcBorders>
              <w:top w:val="single" w:sz="2" w:space="0" w:color="000000"/>
              <w:left w:val="single" w:sz="2" w:space="0" w:color="000000"/>
              <w:bottom w:val="single" w:sz="2" w:space="0" w:color="000000"/>
              <w:right w:val="single" w:sz="2" w:space="0" w:color="000000"/>
            </w:tcBorders>
          </w:tcPr>
          <w:p w14:paraId="29304EF3" w14:textId="77777777" w:rsidR="005E5C2F" w:rsidRPr="007454AA" w:rsidRDefault="005E5C2F" w:rsidP="00292ED5">
            <w:pPr>
              <w:ind w:left="101"/>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w:t>
            </w:r>
          </w:p>
        </w:tc>
        <w:tc>
          <w:tcPr>
            <w:tcW w:w="2493" w:type="dxa"/>
            <w:tcBorders>
              <w:top w:val="single" w:sz="2" w:space="0" w:color="000000"/>
              <w:left w:val="single" w:sz="2" w:space="0" w:color="000000"/>
              <w:bottom w:val="single" w:sz="2" w:space="0" w:color="000000"/>
              <w:right w:val="single" w:sz="2" w:space="0" w:color="000000"/>
            </w:tcBorders>
          </w:tcPr>
          <w:p w14:paraId="3D517DB8" w14:textId="463A32AB" w:rsidR="005E5C2F" w:rsidRPr="007454AA" w:rsidRDefault="00292ED5" w:rsidP="00770482">
            <w:pPr>
              <w:ind w:left="36"/>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CÂUAŞ</w:t>
            </w:r>
          </w:p>
        </w:tc>
        <w:tc>
          <w:tcPr>
            <w:tcW w:w="2160" w:type="dxa"/>
            <w:tcBorders>
              <w:top w:val="single" w:sz="2" w:space="0" w:color="000000"/>
              <w:left w:val="single" w:sz="2" w:space="0" w:color="000000"/>
              <w:bottom w:val="single" w:sz="2" w:space="0" w:color="000000"/>
              <w:right w:val="single" w:sz="2" w:space="0" w:color="000000"/>
            </w:tcBorders>
          </w:tcPr>
          <w:p w14:paraId="7A50D395" w14:textId="77777777" w:rsidR="005E5C2F" w:rsidRPr="007454AA" w:rsidRDefault="005E5C2F" w:rsidP="00770482">
            <w:pPr>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160" w:type="dxa"/>
            <w:tcBorders>
              <w:top w:val="single" w:sz="2" w:space="0" w:color="000000"/>
              <w:left w:val="single" w:sz="2" w:space="0" w:color="000000"/>
              <w:bottom w:val="single" w:sz="2" w:space="0" w:color="000000"/>
              <w:right w:val="single" w:sz="2" w:space="0" w:color="000000"/>
            </w:tcBorders>
          </w:tcPr>
          <w:p w14:paraId="09D1EFDF" w14:textId="77777777" w:rsidR="005E5C2F" w:rsidRPr="007454AA" w:rsidRDefault="005E5C2F" w:rsidP="00770482">
            <w:pPr>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55EBF17D" w14:textId="77777777" w:rsidR="005E5C2F" w:rsidRPr="007454AA" w:rsidRDefault="005E5C2F" w:rsidP="00770482">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1.000</w:t>
            </w:r>
          </w:p>
        </w:tc>
      </w:tr>
      <w:tr w:rsidR="007454AA" w:rsidRPr="007454AA" w14:paraId="79508FA8" w14:textId="77777777" w:rsidTr="00414221">
        <w:trPr>
          <w:trHeight w:val="324"/>
        </w:trPr>
        <w:tc>
          <w:tcPr>
            <w:tcW w:w="1377" w:type="dxa"/>
            <w:tcBorders>
              <w:top w:val="single" w:sz="2" w:space="0" w:color="000000"/>
              <w:left w:val="single" w:sz="2" w:space="0" w:color="000000"/>
              <w:bottom w:val="single" w:sz="2" w:space="0" w:color="000000"/>
              <w:right w:val="single" w:sz="2" w:space="0" w:color="000000"/>
            </w:tcBorders>
          </w:tcPr>
          <w:p w14:paraId="1AA17105" w14:textId="77777777" w:rsidR="005E5C2F" w:rsidRPr="007454AA" w:rsidRDefault="005E5C2F" w:rsidP="00292ED5">
            <w:pPr>
              <w:ind w:left="29"/>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51</w:t>
            </w:r>
          </w:p>
        </w:tc>
        <w:tc>
          <w:tcPr>
            <w:tcW w:w="2493" w:type="dxa"/>
            <w:tcBorders>
              <w:top w:val="single" w:sz="2" w:space="0" w:color="000000"/>
              <w:left w:val="single" w:sz="2" w:space="0" w:color="000000"/>
              <w:bottom w:val="single" w:sz="2" w:space="0" w:color="000000"/>
              <w:right w:val="single" w:sz="2" w:space="0" w:color="000000"/>
            </w:tcBorders>
          </w:tcPr>
          <w:p w14:paraId="3E799B0B" w14:textId="77777777" w:rsidR="005E5C2F" w:rsidRPr="007454AA" w:rsidRDefault="005E5C2F" w:rsidP="00770482">
            <w:pPr>
              <w:ind w:left="36"/>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CERTEZE</w:t>
            </w:r>
          </w:p>
        </w:tc>
        <w:tc>
          <w:tcPr>
            <w:tcW w:w="2160" w:type="dxa"/>
            <w:tcBorders>
              <w:top w:val="single" w:sz="2" w:space="0" w:color="000000"/>
              <w:left w:val="single" w:sz="2" w:space="0" w:color="000000"/>
              <w:bottom w:val="single" w:sz="2" w:space="0" w:color="000000"/>
              <w:right w:val="single" w:sz="2" w:space="0" w:color="000000"/>
            </w:tcBorders>
          </w:tcPr>
          <w:p w14:paraId="5A3DC0BF" w14:textId="77777777" w:rsidR="005E5C2F" w:rsidRPr="007454AA" w:rsidRDefault="005E5C2F" w:rsidP="00770482">
            <w:pPr>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160" w:type="dxa"/>
            <w:tcBorders>
              <w:top w:val="single" w:sz="2" w:space="0" w:color="000000"/>
              <w:left w:val="single" w:sz="2" w:space="0" w:color="000000"/>
              <w:bottom w:val="single" w:sz="2" w:space="0" w:color="000000"/>
              <w:right w:val="single" w:sz="2" w:space="0" w:color="000000"/>
            </w:tcBorders>
          </w:tcPr>
          <w:p w14:paraId="0E1851BB" w14:textId="77777777" w:rsidR="005E5C2F" w:rsidRPr="007454AA" w:rsidRDefault="005E5C2F" w:rsidP="00770482">
            <w:pPr>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56042D74" w14:textId="77777777" w:rsidR="005E5C2F" w:rsidRPr="007454AA" w:rsidRDefault="005E5C2F" w:rsidP="00770482">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1.000</w:t>
            </w:r>
          </w:p>
        </w:tc>
      </w:tr>
      <w:tr w:rsidR="007454AA" w:rsidRPr="007454AA" w14:paraId="4C041129" w14:textId="77777777" w:rsidTr="00414221">
        <w:trPr>
          <w:trHeight w:val="317"/>
        </w:trPr>
        <w:tc>
          <w:tcPr>
            <w:tcW w:w="1377" w:type="dxa"/>
            <w:tcBorders>
              <w:top w:val="single" w:sz="2" w:space="0" w:color="000000"/>
              <w:left w:val="single" w:sz="2" w:space="0" w:color="000000"/>
              <w:bottom w:val="single" w:sz="2" w:space="0" w:color="000000"/>
              <w:right w:val="single" w:sz="2" w:space="0" w:color="000000"/>
            </w:tcBorders>
          </w:tcPr>
          <w:p w14:paraId="22A41C0A" w14:textId="77777777" w:rsidR="005E5C2F" w:rsidRPr="007454AA" w:rsidRDefault="005E5C2F" w:rsidP="00292ED5">
            <w:pPr>
              <w:ind w:left="36"/>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52</w:t>
            </w:r>
          </w:p>
        </w:tc>
        <w:tc>
          <w:tcPr>
            <w:tcW w:w="2493" w:type="dxa"/>
            <w:tcBorders>
              <w:top w:val="single" w:sz="2" w:space="0" w:color="000000"/>
              <w:left w:val="single" w:sz="2" w:space="0" w:color="000000"/>
              <w:bottom w:val="single" w:sz="2" w:space="0" w:color="000000"/>
              <w:right w:val="single" w:sz="2" w:space="0" w:color="000000"/>
            </w:tcBorders>
          </w:tcPr>
          <w:p w14:paraId="0CD476CA" w14:textId="77777777" w:rsidR="005E5C2F" w:rsidRPr="007454AA" w:rsidRDefault="005E5C2F" w:rsidP="00770482">
            <w:pPr>
              <w:ind w:left="43"/>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RACŞA</w:t>
            </w:r>
          </w:p>
        </w:tc>
        <w:tc>
          <w:tcPr>
            <w:tcW w:w="2160" w:type="dxa"/>
            <w:tcBorders>
              <w:top w:val="single" w:sz="2" w:space="0" w:color="000000"/>
              <w:left w:val="single" w:sz="2" w:space="0" w:color="000000"/>
              <w:bottom w:val="single" w:sz="2" w:space="0" w:color="000000"/>
              <w:right w:val="single" w:sz="2" w:space="0" w:color="000000"/>
            </w:tcBorders>
          </w:tcPr>
          <w:p w14:paraId="4DDDDDFA" w14:textId="77777777" w:rsidR="005E5C2F" w:rsidRPr="007454AA" w:rsidRDefault="005E5C2F" w:rsidP="00770482">
            <w:pPr>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160" w:type="dxa"/>
            <w:tcBorders>
              <w:top w:val="single" w:sz="2" w:space="0" w:color="000000"/>
              <w:left w:val="single" w:sz="2" w:space="0" w:color="000000"/>
              <w:bottom w:val="single" w:sz="2" w:space="0" w:color="000000"/>
              <w:right w:val="single" w:sz="2" w:space="0" w:color="000000"/>
            </w:tcBorders>
          </w:tcPr>
          <w:p w14:paraId="53999B4F" w14:textId="77777777" w:rsidR="005E5C2F" w:rsidRPr="007454AA" w:rsidRDefault="005E5C2F" w:rsidP="00770482">
            <w:pPr>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46E7F739" w14:textId="77777777" w:rsidR="005E5C2F" w:rsidRPr="007454AA" w:rsidRDefault="005E5C2F" w:rsidP="00770482">
            <w:pPr>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1.000</w:t>
            </w:r>
          </w:p>
        </w:tc>
      </w:tr>
      <w:tr w:rsidR="007454AA" w:rsidRPr="007454AA" w14:paraId="1607BF44" w14:textId="77777777" w:rsidTr="00414221">
        <w:trPr>
          <w:trHeight w:val="317"/>
        </w:trPr>
        <w:tc>
          <w:tcPr>
            <w:tcW w:w="1377" w:type="dxa"/>
            <w:tcBorders>
              <w:top w:val="single" w:sz="2" w:space="0" w:color="000000"/>
              <w:left w:val="single" w:sz="2" w:space="0" w:color="000000"/>
              <w:bottom w:val="single" w:sz="2" w:space="0" w:color="000000"/>
              <w:right w:val="single" w:sz="2" w:space="0" w:color="000000"/>
            </w:tcBorders>
          </w:tcPr>
          <w:p w14:paraId="5313285C" w14:textId="77777777" w:rsidR="005E5C2F" w:rsidRPr="007454AA" w:rsidRDefault="005E5C2F" w:rsidP="00292ED5">
            <w:pPr>
              <w:ind w:left="29"/>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53</w:t>
            </w:r>
          </w:p>
        </w:tc>
        <w:tc>
          <w:tcPr>
            <w:tcW w:w="2493" w:type="dxa"/>
            <w:tcBorders>
              <w:top w:val="single" w:sz="2" w:space="0" w:color="000000"/>
              <w:left w:val="single" w:sz="2" w:space="0" w:color="000000"/>
              <w:bottom w:val="single" w:sz="2" w:space="0" w:color="000000"/>
              <w:right w:val="single" w:sz="2" w:space="0" w:color="000000"/>
            </w:tcBorders>
          </w:tcPr>
          <w:p w14:paraId="210042CA" w14:textId="77777777" w:rsidR="005E5C2F" w:rsidRPr="007454AA" w:rsidRDefault="005E5C2F" w:rsidP="00770482">
            <w:pPr>
              <w:ind w:left="36"/>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CÂMİN</w:t>
            </w:r>
          </w:p>
        </w:tc>
        <w:tc>
          <w:tcPr>
            <w:tcW w:w="2160" w:type="dxa"/>
            <w:tcBorders>
              <w:top w:val="single" w:sz="2" w:space="0" w:color="000000"/>
              <w:left w:val="single" w:sz="2" w:space="0" w:color="000000"/>
              <w:bottom w:val="single" w:sz="2" w:space="0" w:color="000000"/>
              <w:right w:val="single" w:sz="2" w:space="0" w:color="000000"/>
            </w:tcBorders>
          </w:tcPr>
          <w:p w14:paraId="220F1268" w14:textId="77777777" w:rsidR="005E5C2F" w:rsidRPr="007454AA" w:rsidRDefault="005E5C2F" w:rsidP="00770482">
            <w:pPr>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160" w:type="dxa"/>
            <w:tcBorders>
              <w:top w:val="single" w:sz="2" w:space="0" w:color="000000"/>
              <w:left w:val="single" w:sz="2" w:space="0" w:color="000000"/>
              <w:bottom w:val="single" w:sz="2" w:space="0" w:color="000000"/>
              <w:right w:val="single" w:sz="2" w:space="0" w:color="000000"/>
            </w:tcBorders>
          </w:tcPr>
          <w:p w14:paraId="3741DD26" w14:textId="77777777" w:rsidR="005E5C2F" w:rsidRPr="007454AA" w:rsidRDefault="005E5C2F" w:rsidP="00770482">
            <w:pPr>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74CDCB93" w14:textId="77777777" w:rsidR="005E5C2F" w:rsidRPr="007454AA" w:rsidRDefault="005E5C2F" w:rsidP="00770482">
            <w:pPr>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1.000</w:t>
            </w:r>
          </w:p>
        </w:tc>
      </w:tr>
      <w:tr w:rsidR="007454AA" w:rsidRPr="007454AA" w14:paraId="00F4D0E6" w14:textId="77777777" w:rsidTr="00414221">
        <w:trPr>
          <w:trHeight w:val="319"/>
        </w:trPr>
        <w:tc>
          <w:tcPr>
            <w:tcW w:w="1377" w:type="dxa"/>
            <w:tcBorders>
              <w:top w:val="single" w:sz="2" w:space="0" w:color="000000"/>
              <w:left w:val="single" w:sz="2" w:space="0" w:color="000000"/>
              <w:bottom w:val="single" w:sz="2" w:space="0" w:color="000000"/>
              <w:right w:val="single" w:sz="2" w:space="0" w:color="000000"/>
            </w:tcBorders>
          </w:tcPr>
          <w:p w14:paraId="424146BB" w14:textId="77777777" w:rsidR="005E5C2F" w:rsidRPr="007454AA" w:rsidRDefault="005E5C2F" w:rsidP="00292ED5">
            <w:pPr>
              <w:ind w:left="101"/>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54</w:t>
            </w:r>
          </w:p>
        </w:tc>
        <w:tc>
          <w:tcPr>
            <w:tcW w:w="2493" w:type="dxa"/>
            <w:tcBorders>
              <w:top w:val="single" w:sz="2" w:space="0" w:color="000000"/>
              <w:left w:val="single" w:sz="2" w:space="0" w:color="000000"/>
              <w:bottom w:val="single" w:sz="2" w:space="0" w:color="000000"/>
              <w:right w:val="single" w:sz="2" w:space="0" w:color="000000"/>
            </w:tcBorders>
          </w:tcPr>
          <w:p w14:paraId="5D434228" w14:textId="5F61CAD6" w:rsidR="005E5C2F" w:rsidRPr="007454AA" w:rsidRDefault="005E5C2F" w:rsidP="00770482">
            <w:pPr>
              <w:ind w:left="36"/>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CJ SATU MARE</w:t>
            </w:r>
          </w:p>
        </w:tc>
        <w:tc>
          <w:tcPr>
            <w:tcW w:w="2160" w:type="dxa"/>
            <w:tcBorders>
              <w:top w:val="single" w:sz="2" w:space="0" w:color="000000"/>
              <w:left w:val="single" w:sz="2" w:space="0" w:color="000000"/>
              <w:bottom w:val="single" w:sz="2" w:space="0" w:color="000000"/>
              <w:right w:val="single" w:sz="2" w:space="0" w:color="000000"/>
            </w:tcBorders>
          </w:tcPr>
          <w:p w14:paraId="784DEAA5" w14:textId="77777777" w:rsidR="005E5C2F" w:rsidRPr="007454AA" w:rsidRDefault="005E5C2F" w:rsidP="00770482">
            <w:pPr>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160" w:type="dxa"/>
            <w:tcBorders>
              <w:top w:val="single" w:sz="2" w:space="0" w:color="000000"/>
              <w:left w:val="single" w:sz="2" w:space="0" w:color="000000"/>
              <w:bottom w:val="single" w:sz="2" w:space="0" w:color="000000"/>
              <w:right w:val="single" w:sz="2" w:space="0" w:color="000000"/>
            </w:tcBorders>
          </w:tcPr>
          <w:p w14:paraId="602FAE48" w14:textId="77777777" w:rsidR="005E5C2F" w:rsidRPr="007454AA" w:rsidRDefault="005E5C2F" w:rsidP="00770482">
            <w:pPr>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203DE131" w14:textId="77777777" w:rsidR="005E5C2F" w:rsidRPr="007454AA" w:rsidRDefault="005E5C2F" w:rsidP="00770482">
            <w:pPr>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1.000</w:t>
            </w:r>
          </w:p>
        </w:tc>
      </w:tr>
      <w:tr w:rsidR="007454AA" w:rsidRPr="007454AA" w14:paraId="0A4867D7" w14:textId="77777777" w:rsidTr="00414221">
        <w:trPr>
          <w:trHeight w:val="331"/>
        </w:trPr>
        <w:tc>
          <w:tcPr>
            <w:tcW w:w="1377" w:type="dxa"/>
            <w:tcBorders>
              <w:top w:val="single" w:sz="2" w:space="0" w:color="000000"/>
              <w:left w:val="single" w:sz="2" w:space="0" w:color="000000"/>
              <w:bottom w:val="single" w:sz="2" w:space="0" w:color="000000"/>
              <w:right w:val="single" w:sz="2" w:space="0" w:color="000000"/>
            </w:tcBorders>
          </w:tcPr>
          <w:p w14:paraId="4AFEAE98" w14:textId="77777777" w:rsidR="005E5C2F" w:rsidRPr="007454AA" w:rsidRDefault="005E5C2F" w:rsidP="00770482">
            <w:pPr>
              <w:rPr>
                <w:rFonts w:ascii="Times New Roman" w:eastAsia="Times New Roman" w:hAnsi="Times New Roman" w:cs="Times New Roman"/>
                <w:sz w:val="20"/>
                <w:szCs w:val="20"/>
                <w:lang w:val="ro-RO"/>
              </w:rPr>
            </w:pPr>
          </w:p>
        </w:tc>
        <w:tc>
          <w:tcPr>
            <w:tcW w:w="2493" w:type="dxa"/>
            <w:tcBorders>
              <w:top w:val="single" w:sz="2" w:space="0" w:color="000000"/>
              <w:left w:val="single" w:sz="2" w:space="0" w:color="000000"/>
              <w:bottom w:val="single" w:sz="2" w:space="0" w:color="000000"/>
              <w:right w:val="single" w:sz="2" w:space="0" w:color="000000"/>
            </w:tcBorders>
          </w:tcPr>
          <w:p w14:paraId="277CC90D" w14:textId="77777777" w:rsidR="005E5C2F" w:rsidRPr="007454AA" w:rsidRDefault="005E5C2F" w:rsidP="00770482">
            <w:pPr>
              <w:ind w:left="29"/>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TOTAL LUNAR</w:t>
            </w:r>
          </w:p>
        </w:tc>
        <w:tc>
          <w:tcPr>
            <w:tcW w:w="2160" w:type="dxa"/>
            <w:tcBorders>
              <w:top w:val="single" w:sz="2" w:space="0" w:color="000000"/>
              <w:left w:val="single" w:sz="2" w:space="0" w:color="000000"/>
              <w:bottom w:val="single" w:sz="2" w:space="0" w:color="000000"/>
              <w:right w:val="single" w:sz="2" w:space="0" w:color="000000"/>
            </w:tcBorders>
          </w:tcPr>
          <w:p w14:paraId="7939AFC4" w14:textId="77777777" w:rsidR="005E5C2F" w:rsidRPr="007454AA" w:rsidRDefault="005E5C2F" w:rsidP="00414221">
            <w:pPr>
              <w:ind w:left="338"/>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1.147.800</w:t>
            </w:r>
          </w:p>
        </w:tc>
        <w:tc>
          <w:tcPr>
            <w:tcW w:w="2160" w:type="dxa"/>
            <w:tcBorders>
              <w:top w:val="single" w:sz="2" w:space="0" w:color="000000"/>
              <w:left w:val="single" w:sz="2" w:space="0" w:color="000000"/>
              <w:bottom w:val="single" w:sz="2" w:space="0" w:color="000000"/>
              <w:right w:val="single" w:sz="2" w:space="0" w:color="000000"/>
            </w:tcBorders>
          </w:tcPr>
          <w:p w14:paraId="3518ED50" w14:textId="77777777" w:rsidR="005E5C2F" w:rsidRPr="007454AA" w:rsidRDefault="005E5C2F" w:rsidP="00770482">
            <w:pPr>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1.043.000</w:t>
            </w:r>
          </w:p>
        </w:tc>
        <w:tc>
          <w:tcPr>
            <w:tcW w:w="2340" w:type="dxa"/>
            <w:tcBorders>
              <w:top w:val="single" w:sz="2" w:space="0" w:color="000000"/>
              <w:left w:val="single" w:sz="2" w:space="0" w:color="000000"/>
              <w:bottom w:val="single" w:sz="2" w:space="0" w:color="000000"/>
              <w:right w:val="single" w:sz="2" w:space="0" w:color="000000"/>
            </w:tcBorders>
          </w:tcPr>
          <w:p w14:paraId="1854DA53" w14:textId="77777777" w:rsidR="005E5C2F" w:rsidRPr="007454AA" w:rsidRDefault="005E5C2F" w:rsidP="00770482">
            <w:pPr>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2.190.800</w:t>
            </w:r>
          </w:p>
        </w:tc>
      </w:tr>
    </w:tbl>
    <w:p w14:paraId="5F1B29C8" w14:textId="77777777" w:rsidR="005C777F" w:rsidRPr="007454AA" w:rsidRDefault="005C777F" w:rsidP="005C777F">
      <w:pPr>
        <w:pStyle w:val="NoSpacing"/>
        <w:ind w:firstLine="706"/>
        <w:jc w:val="both"/>
      </w:pPr>
    </w:p>
    <w:p w14:paraId="5F4D4D4B" w14:textId="339B1256" w:rsidR="005C777F" w:rsidRPr="00456D6E" w:rsidRDefault="005C777F" w:rsidP="007454AA">
      <w:pPr>
        <w:pStyle w:val="NoSpacing"/>
        <w:ind w:firstLine="706"/>
        <w:jc w:val="both"/>
      </w:pPr>
      <w:r w:rsidRPr="007454AA">
        <w:t xml:space="preserve">Creșterea redevenței, care face obiectul Actului adițional nr. 13 la Contractul de delegare, este necesară pentru a acoperi costurile estimate pe care le va avea </w:t>
      </w:r>
      <w:proofErr w:type="spellStart"/>
      <w:r w:rsidRPr="007454AA">
        <w:t>Apaserv</w:t>
      </w:r>
      <w:proofErr w:type="spellEnd"/>
      <w:r w:rsidRPr="007454AA">
        <w:t xml:space="preserve"> Satu Mare cu creditul ce urmează a se contracta pentru cofinanțarea ratei forfetare aferente Proiectului Proiectul regional de dezvoltare a infrastructurii de apă </w:t>
      </w:r>
      <w:proofErr w:type="spellStart"/>
      <w:r w:rsidRPr="007454AA">
        <w:t>şi</w:t>
      </w:r>
      <w:proofErr w:type="spellEnd"/>
      <w:r w:rsidRPr="007454AA">
        <w:t xml:space="preserve"> a</w:t>
      </w:r>
      <w:r w:rsidRPr="00456D6E">
        <w:t>pă uzată din județul Satu Mare/Regiunea Nord-Vest, în perioada 2014-2020”,cod SMIS 2014+ 123241.</w:t>
      </w:r>
    </w:p>
    <w:p w14:paraId="1FB6CB0C" w14:textId="3E6292CE" w:rsidR="00A35EB8" w:rsidRPr="00456D6E" w:rsidRDefault="00A35EB8" w:rsidP="007454AA">
      <w:pPr>
        <w:spacing w:after="0" w:line="240" w:lineRule="auto"/>
        <w:ind w:firstLine="691"/>
        <w:jc w:val="both"/>
        <w:rPr>
          <w:rFonts w:ascii="Times New Roman" w:eastAsia="Times New Roman" w:hAnsi="Times New Roman" w:cs="Times New Roman"/>
          <w:sz w:val="24"/>
          <w:szCs w:val="24"/>
        </w:rPr>
      </w:pPr>
      <w:r w:rsidRPr="00456D6E">
        <w:rPr>
          <w:rFonts w:ascii="Times New Roman" w:eastAsia="Times New Roman" w:hAnsi="Times New Roman" w:cs="Times New Roman"/>
          <w:sz w:val="24"/>
          <w:szCs w:val="24"/>
        </w:rPr>
        <w:t>Conform A</w:t>
      </w:r>
      <w:r w:rsidR="00414221" w:rsidRPr="00456D6E">
        <w:rPr>
          <w:rFonts w:ascii="Times New Roman" w:eastAsia="Times New Roman" w:hAnsi="Times New Roman" w:cs="Times New Roman"/>
          <w:sz w:val="24"/>
          <w:szCs w:val="24"/>
        </w:rPr>
        <w:t>ctului</w:t>
      </w:r>
      <w:r w:rsidRPr="00456D6E">
        <w:rPr>
          <w:rFonts w:ascii="Times New Roman" w:eastAsia="Times New Roman" w:hAnsi="Times New Roman" w:cs="Times New Roman"/>
          <w:sz w:val="24"/>
          <w:szCs w:val="24"/>
        </w:rPr>
        <w:t xml:space="preserve"> A</w:t>
      </w:r>
      <w:r w:rsidR="00414221" w:rsidRPr="00456D6E">
        <w:rPr>
          <w:rFonts w:ascii="Times New Roman" w:eastAsia="Times New Roman" w:hAnsi="Times New Roman" w:cs="Times New Roman"/>
          <w:sz w:val="24"/>
          <w:szCs w:val="24"/>
        </w:rPr>
        <w:t>dițional</w:t>
      </w:r>
      <w:r w:rsidRPr="00456D6E">
        <w:rPr>
          <w:rFonts w:ascii="Times New Roman" w:eastAsia="Times New Roman" w:hAnsi="Times New Roman" w:cs="Times New Roman"/>
          <w:sz w:val="24"/>
          <w:szCs w:val="24"/>
        </w:rPr>
        <w:t xml:space="preserve"> N</w:t>
      </w:r>
      <w:r w:rsidR="00414221" w:rsidRPr="00456D6E">
        <w:rPr>
          <w:rFonts w:ascii="Times New Roman" w:eastAsia="Times New Roman" w:hAnsi="Times New Roman" w:cs="Times New Roman"/>
          <w:sz w:val="24"/>
          <w:szCs w:val="24"/>
        </w:rPr>
        <w:t>r</w:t>
      </w:r>
      <w:r w:rsidRPr="00456D6E">
        <w:rPr>
          <w:rFonts w:ascii="Times New Roman" w:eastAsia="Times New Roman" w:hAnsi="Times New Roman" w:cs="Times New Roman"/>
          <w:sz w:val="24"/>
          <w:szCs w:val="24"/>
        </w:rPr>
        <w:t>.</w:t>
      </w:r>
      <w:r w:rsidR="00414221" w:rsidRPr="00456D6E">
        <w:rPr>
          <w:rFonts w:ascii="Times New Roman" w:eastAsia="Times New Roman" w:hAnsi="Times New Roman" w:cs="Times New Roman"/>
          <w:sz w:val="24"/>
          <w:szCs w:val="24"/>
        </w:rPr>
        <w:t xml:space="preserve"> </w:t>
      </w:r>
      <w:r w:rsidRPr="00456D6E">
        <w:rPr>
          <w:rFonts w:ascii="Times New Roman" w:eastAsia="Times New Roman" w:hAnsi="Times New Roman" w:cs="Times New Roman"/>
          <w:sz w:val="24"/>
          <w:szCs w:val="24"/>
        </w:rPr>
        <w:t>3/15.11.2022 la contractul de finanțare nr. 278/19.11.2019 aferent proiectului ”Proiectul regional de dezvoltare a infrastructurii de apă și apă uzată din județul Satu Mare/Regiunea Nord-Vest, în perioada 2014-2020", Apaserv Satu Mare S.A. trebuie să asigure rata forfetară în valoare de 58.705.408,86 Lei. Această sumă poate să crească datorită ajustării contractelor de lucrări care se efectuează în conformitate cu legislația aplicabilă, respectiv cu Ordonanța de urgență nr. 64/2022 privind ajustarea prețurilor și a valorii devizelor generale în cadrul proiectelor finanțate din fonduri externe nerambursabile.</w:t>
      </w:r>
    </w:p>
    <w:p w14:paraId="42986127" w14:textId="77777777" w:rsidR="00A35EB8" w:rsidRPr="00456D6E" w:rsidRDefault="00A35EB8" w:rsidP="007454AA">
      <w:pPr>
        <w:spacing w:after="0" w:line="240" w:lineRule="auto"/>
        <w:ind w:firstLine="691"/>
        <w:jc w:val="both"/>
        <w:rPr>
          <w:rFonts w:ascii="Times New Roman" w:eastAsia="Times New Roman" w:hAnsi="Times New Roman" w:cs="Times New Roman"/>
          <w:sz w:val="24"/>
          <w:szCs w:val="24"/>
        </w:rPr>
      </w:pPr>
      <w:r w:rsidRPr="00456D6E">
        <w:rPr>
          <w:rFonts w:ascii="Times New Roman" w:eastAsia="Times New Roman" w:hAnsi="Times New Roman" w:cs="Times New Roman"/>
          <w:sz w:val="24"/>
          <w:szCs w:val="24"/>
        </w:rPr>
        <w:t>De asemenea, Apaserv Satu Mare trebuie să se asigure că are lichidități suficiente pentru a rambursa creditele aflate deja în perioada de rambursare și anume: de la Banca Europeană de Investiții (B.E.I.) pentru investițiile realizate prin programul I.S.P.A. și respectiv de la Banca Europeană pentru Reconstrucție și Dezvoltare (B.E.R.D.).</w:t>
      </w:r>
    </w:p>
    <w:p w14:paraId="7A412BAB" w14:textId="0DFBF6A6" w:rsidR="005A3BC6" w:rsidRPr="00456D6E" w:rsidRDefault="000315A4" w:rsidP="007454AA">
      <w:pPr>
        <w:spacing w:after="0" w:line="240" w:lineRule="auto"/>
        <w:ind w:firstLine="691"/>
        <w:jc w:val="both"/>
        <w:rPr>
          <w:rFonts w:ascii="Times New Roman" w:eastAsia="Times New Roman" w:hAnsi="Times New Roman" w:cs="Times New Roman"/>
          <w:sz w:val="24"/>
          <w:szCs w:val="24"/>
        </w:rPr>
      </w:pPr>
      <w:r w:rsidRPr="00456D6E">
        <w:rPr>
          <w:rFonts w:ascii="Times New Roman" w:eastAsia="Times New Roman" w:hAnsi="Times New Roman" w:cs="Times New Roman"/>
          <w:sz w:val="24"/>
          <w:szCs w:val="24"/>
        </w:rPr>
        <w:t xml:space="preserve">  </w:t>
      </w:r>
      <w:proofErr w:type="spellStart"/>
      <w:r w:rsidR="005A3BC6" w:rsidRPr="00456D6E">
        <w:rPr>
          <w:rFonts w:ascii="Times New Roman" w:eastAsia="Times New Roman" w:hAnsi="Times New Roman" w:cs="Times New Roman"/>
          <w:sz w:val="24"/>
          <w:szCs w:val="24"/>
        </w:rPr>
        <w:t>Apaserv</w:t>
      </w:r>
      <w:proofErr w:type="spellEnd"/>
      <w:r w:rsidR="005A3BC6" w:rsidRPr="00456D6E">
        <w:rPr>
          <w:rFonts w:ascii="Times New Roman" w:eastAsia="Times New Roman" w:hAnsi="Times New Roman" w:cs="Times New Roman"/>
          <w:sz w:val="24"/>
          <w:szCs w:val="24"/>
        </w:rPr>
        <w:t xml:space="preserve"> Satu Mare S.A. propune creșterea redevenței la aproximativ 23,2 % din valoarea facturilor de apă, apă/canalizare-epurare estimate a fi emise pe parcursul anului. </w:t>
      </w:r>
      <w:r w:rsidR="005A3BC6" w:rsidRPr="00456D6E">
        <w:rPr>
          <w:rFonts w:ascii="Times New Roman" w:eastAsia="Times New Roman" w:hAnsi="Times New Roman" w:cs="Times New Roman"/>
          <w:b/>
          <w:bCs/>
          <w:sz w:val="24"/>
          <w:szCs w:val="24"/>
        </w:rPr>
        <w:t>Astfel, din fiecare factură emisă către clienții noștri, 23,2% din valoarea facturii va fi redirecționat către investiții.</w:t>
      </w:r>
    </w:p>
    <w:p w14:paraId="31354013" w14:textId="61861FD0" w:rsidR="005A3BC6" w:rsidRPr="00456D6E" w:rsidRDefault="000315A4" w:rsidP="007454AA">
      <w:pPr>
        <w:spacing w:after="0" w:line="240" w:lineRule="auto"/>
        <w:ind w:firstLine="4"/>
        <w:jc w:val="both"/>
        <w:rPr>
          <w:rFonts w:ascii="Times New Roman" w:eastAsia="Times New Roman" w:hAnsi="Times New Roman" w:cs="Times New Roman"/>
          <w:sz w:val="24"/>
          <w:szCs w:val="24"/>
        </w:rPr>
      </w:pPr>
      <w:r w:rsidRPr="00456D6E">
        <w:rPr>
          <w:rFonts w:ascii="Times New Roman" w:eastAsia="Times New Roman" w:hAnsi="Times New Roman" w:cs="Times New Roman"/>
          <w:sz w:val="24"/>
          <w:szCs w:val="24"/>
        </w:rPr>
        <w:t xml:space="preserve">             </w:t>
      </w:r>
      <w:r w:rsidR="005A3BC6" w:rsidRPr="00456D6E">
        <w:rPr>
          <w:rFonts w:ascii="Times New Roman" w:eastAsia="Times New Roman" w:hAnsi="Times New Roman" w:cs="Times New Roman"/>
          <w:sz w:val="24"/>
          <w:szCs w:val="24"/>
        </w:rPr>
        <w:t xml:space="preserve">În tabelul </w:t>
      </w:r>
      <w:r w:rsidRPr="00456D6E">
        <w:rPr>
          <w:rFonts w:ascii="Times New Roman" w:eastAsia="Times New Roman" w:hAnsi="Times New Roman" w:cs="Times New Roman"/>
          <w:sz w:val="24"/>
          <w:szCs w:val="24"/>
        </w:rPr>
        <w:t>următor</w:t>
      </w:r>
      <w:r w:rsidR="005A3BC6" w:rsidRPr="00456D6E">
        <w:rPr>
          <w:rFonts w:ascii="Times New Roman" w:eastAsia="Times New Roman" w:hAnsi="Times New Roman" w:cs="Times New Roman"/>
          <w:sz w:val="24"/>
          <w:szCs w:val="24"/>
        </w:rPr>
        <w:t xml:space="preserve"> se compară nivelul actual al redevenței cu nivelul propus al redevenței și anume:</w:t>
      </w:r>
    </w:p>
    <w:tbl>
      <w:tblPr>
        <w:tblStyle w:val="TableGrid0"/>
        <w:tblW w:w="0" w:type="auto"/>
        <w:tblInd w:w="16" w:type="dxa"/>
        <w:tblLook w:val="04A0" w:firstRow="1" w:lastRow="0" w:firstColumn="1" w:lastColumn="0" w:noHBand="0" w:noVBand="1"/>
      </w:tblPr>
      <w:tblGrid>
        <w:gridCol w:w="1257"/>
        <w:gridCol w:w="2552"/>
        <w:gridCol w:w="2555"/>
        <w:gridCol w:w="2121"/>
        <w:gridCol w:w="2122"/>
      </w:tblGrid>
      <w:tr w:rsidR="00456D6E" w:rsidRPr="00456D6E" w14:paraId="713F1110" w14:textId="77777777" w:rsidTr="00721EBF">
        <w:tc>
          <w:tcPr>
            <w:tcW w:w="1257" w:type="dxa"/>
            <w:tcBorders>
              <w:top w:val="single" w:sz="2" w:space="0" w:color="000000"/>
              <w:left w:val="single" w:sz="2" w:space="0" w:color="000000"/>
              <w:bottom w:val="single" w:sz="2" w:space="0" w:color="000000"/>
              <w:right w:val="single" w:sz="2" w:space="0" w:color="000000"/>
            </w:tcBorders>
            <w:vAlign w:val="center"/>
          </w:tcPr>
          <w:p w14:paraId="5009FD16" w14:textId="77777777" w:rsidR="005A3BC6" w:rsidRPr="00456D6E" w:rsidRDefault="005A3BC6" w:rsidP="00721EBF">
            <w:pPr>
              <w:ind w:left="50"/>
              <w:jc w:val="center"/>
              <w:rPr>
                <w:rFonts w:ascii="Times New Roman" w:eastAsia="Times New Roman" w:hAnsi="Times New Roman" w:cs="Times New Roman"/>
                <w:b/>
                <w:bCs/>
                <w:sz w:val="20"/>
                <w:szCs w:val="20"/>
              </w:rPr>
            </w:pPr>
            <w:r w:rsidRPr="00456D6E">
              <w:rPr>
                <w:rFonts w:ascii="Times New Roman" w:eastAsia="Times New Roman" w:hAnsi="Times New Roman" w:cs="Times New Roman"/>
                <w:b/>
                <w:bCs/>
                <w:sz w:val="20"/>
                <w:szCs w:val="20"/>
              </w:rPr>
              <w:t>Nr.</w:t>
            </w:r>
          </w:p>
          <w:p w14:paraId="2905F7BA" w14:textId="2A3F1C52" w:rsidR="005A3BC6" w:rsidRPr="00456D6E" w:rsidRDefault="005A3BC6" w:rsidP="00721EBF">
            <w:pPr>
              <w:spacing w:after="12" w:line="252" w:lineRule="auto"/>
              <w:ind w:right="14"/>
              <w:jc w:val="center"/>
              <w:rPr>
                <w:rFonts w:ascii="Times New Roman" w:eastAsia="Times New Roman" w:hAnsi="Times New Roman" w:cs="Times New Roman"/>
                <w:b/>
                <w:bCs/>
                <w:sz w:val="20"/>
                <w:szCs w:val="20"/>
              </w:rPr>
            </w:pPr>
            <w:r w:rsidRPr="00456D6E">
              <w:rPr>
                <w:rFonts w:ascii="Times New Roman" w:eastAsia="Times New Roman" w:hAnsi="Times New Roman" w:cs="Times New Roman"/>
                <w:b/>
                <w:bCs/>
                <w:sz w:val="20"/>
                <w:szCs w:val="20"/>
              </w:rPr>
              <w:t>crt.</w:t>
            </w:r>
          </w:p>
        </w:tc>
        <w:tc>
          <w:tcPr>
            <w:tcW w:w="2552" w:type="dxa"/>
            <w:tcBorders>
              <w:top w:val="single" w:sz="2" w:space="0" w:color="000000"/>
              <w:left w:val="single" w:sz="2" w:space="0" w:color="000000"/>
              <w:bottom w:val="single" w:sz="2" w:space="0" w:color="000000"/>
              <w:right w:val="single" w:sz="2" w:space="0" w:color="000000"/>
            </w:tcBorders>
            <w:vAlign w:val="center"/>
          </w:tcPr>
          <w:p w14:paraId="64FD6F76" w14:textId="522E3BC5" w:rsidR="005A3BC6" w:rsidRPr="00456D6E" w:rsidRDefault="005A3BC6" w:rsidP="00721EBF">
            <w:pPr>
              <w:spacing w:after="12" w:line="252" w:lineRule="auto"/>
              <w:ind w:right="14"/>
              <w:jc w:val="center"/>
              <w:rPr>
                <w:rFonts w:ascii="Times New Roman" w:eastAsia="Times New Roman" w:hAnsi="Times New Roman" w:cs="Times New Roman"/>
                <w:b/>
                <w:bCs/>
                <w:sz w:val="20"/>
                <w:szCs w:val="20"/>
              </w:rPr>
            </w:pPr>
            <w:r w:rsidRPr="00456D6E">
              <w:rPr>
                <w:rFonts w:ascii="Times New Roman" w:eastAsia="Times New Roman" w:hAnsi="Times New Roman" w:cs="Times New Roman"/>
                <w:b/>
                <w:bCs/>
                <w:sz w:val="20"/>
                <w:szCs w:val="20"/>
              </w:rPr>
              <w:t>U.A.T.</w:t>
            </w:r>
          </w:p>
        </w:tc>
        <w:tc>
          <w:tcPr>
            <w:tcW w:w="2555" w:type="dxa"/>
            <w:tcBorders>
              <w:top w:val="single" w:sz="2" w:space="0" w:color="000000"/>
              <w:left w:val="single" w:sz="2" w:space="0" w:color="000000"/>
              <w:bottom w:val="single" w:sz="2" w:space="0" w:color="000000"/>
              <w:right w:val="single" w:sz="2" w:space="0" w:color="000000"/>
            </w:tcBorders>
            <w:vAlign w:val="center"/>
          </w:tcPr>
          <w:p w14:paraId="52B7E76E" w14:textId="77777777" w:rsidR="005A3BC6" w:rsidRPr="00456D6E" w:rsidRDefault="005A3BC6" w:rsidP="00721EBF">
            <w:pPr>
              <w:spacing w:after="5"/>
              <w:ind w:right="10"/>
              <w:jc w:val="center"/>
              <w:rPr>
                <w:rFonts w:ascii="Times New Roman" w:eastAsia="Times New Roman" w:hAnsi="Times New Roman" w:cs="Times New Roman"/>
                <w:b/>
                <w:bCs/>
                <w:sz w:val="20"/>
                <w:szCs w:val="20"/>
              </w:rPr>
            </w:pPr>
            <w:r w:rsidRPr="00456D6E">
              <w:rPr>
                <w:rFonts w:ascii="Times New Roman" w:eastAsia="Times New Roman" w:hAnsi="Times New Roman" w:cs="Times New Roman"/>
                <w:b/>
                <w:bCs/>
                <w:sz w:val="20"/>
                <w:szCs w:val="20"/>
              </w:rPr>
              <w:t>Redevență lunară</w:t>
            </w:r>
          </w:p>
          <w:p w14:paraId="69A9FA5A" w14:textId="148781B3" w:rsidR="005A3BC6" w:rsidRPr="00456D6E" w:rsidRDefault="005A3BC6" w:rsidP="00721EBF">
            <w:pPr>
              <w:spacing w:after="12" w:line="252" w:lineRule="auto"/>
              <w:ind w:right="14"/>
              <w:jc w:val="center"/>
              <w:rPr>
                <w:rFonts w:ascii="Times New Roman" w:eastAsia="Times New Roman" w:hAnsi="Times New Roman" w:cs="Times New Roman"/>
                <w:b/>
                <w:bCs/>
                <w:sz w:val="20"/>
                <w:szCs w:val="20"/>
              </w:rPr>
            </w:pPr>
            <w:r w:rsidRPr="00456D6E">
              <w:rPr>
                <w:rFonts w:ascii="Times New Roman" w:eastAsia="Times New Roman" w:hAnsi="Times New Roman" w:cs="Times New Roman"/>
                <w:b/>
                <w:bCs/>
                <w:sz w:val="20"/>
                <w:szCs w:val="20"/>
              </w:rPr>
              <w:t>Apă+Canal actuală</w:t>
            </w:r>
          </w:p>
        </w:tc>
        <w:tc>
          <w:tcPr>
            <w:tcW w:w="2121" w:type="dxa"/>
            <w:tcBorders>
              <w:top w:val="single" w:sz="2" w:space="0" w:color="000000"/>
              <w:left w:val="single" w:sz="2" w:space="0" w:color="000000"/>
              <w:bottom w:val="single" w:sz="2" w:space="0" w:color="000000"/>
              <w:right w:val="single" w:sz="2" w:space="0" w:color="000000"/>
            </w:tcBorders>
          </w:tcPr>
          <w:p w14:paraId="62FE8C03" w14:textId="77777777" w:rsidR="005A3BC6" w:rsidRPr="00456D6E" w:rsidRDefault="005A3BC6" w:rsidP="00721EBF">
            <w:pPr>
              <w:ind w:right="24"/>
              <w:jc w:val="center"/>
              <w:rPr>
                <w:rFonts w:ascii="Times New Roman" w:eastAsia="Times New Roman" w:hAnsi="Times New Roman" w:cs="Times New Roman"/>
                <w:b/>
                <w:bCs/>
                <w:sz w:val="20"/>
                <w:szCs w:val="20"/>
              </w:rPr>
            </w:pPr>
            <w:r w:rsidRPr="00456D6E">
              <w:rPr>
                <w:rFonts w:ascii="Times New Roman" w:eastAsia="Times New Roman" w:hAnsi="Times New Roman" w:cs="Times New Roman"/>
                <w:b/>
                <w:bCs/>
                <w:sz w:val="20"/>
                <w:szCs w:val="20"/>
              </w:rPr>
              <w:t>Redevență lunară</w:t>
            </w:r>
          </w:p>
          <w:p w14:paraId="38F62B88" w14:textId="3F76E3BA" w:rsidR="005A3BC6" w:rsidRPr="00456D6E" w:rsidRDefault="005A3BC6" w:rsidP="00721EBF">
            <w:pPr>
              <w:spacing w:after="12" w:line="252" w:lineRule="auto"/>
              <w:ind w:right="14"/>
              <w:jc w:val="center"/>
              <w:rPr>
                <w:rFonts w:ascii="Times New Roman" w:eastAsia="Times New Roman" w:hAnsi="Times New Roman" w:cs="Times New Roman"/>
                <w:b/>
                <w:bCs/>
                <w:sz w:val="20"/>
                <w:szCs w:val="20"/>
              </w:rPr>
            </w:pPr>
            <w:r w:rsidRPr="00456D6E">
              <w:rPr>
                <w:rFonts w:ascii="Times New Roman" w:eastAsia="Times New Roman" w:hAnsi="Times New Roman" w:cs="Times New Roman"/>
                <w:b/>
                <w:bCs/>
                <w:sz w:val="20"/>
                <w:szCs w:val="20"/>
              </w:rPr>
              <w:t>Apă+Canal propusă</w:t>
            </w:r>
          </w:p>
        </w:tc>
        <w:tc>
          <w:tcPr>
            <w:tcW w:w="2122" w:type="dxa"/>
            <w:tcBorders>
              <w:top w:val="single" w:sz="2" w:space="0" w:color="000000"/>
              <w:left w:val="single" w:sz="2" w:space="0" w:color="000000"/>
              <w:bottom w:val="single" w:sz="2" w:space="0" w:color="000000"/>
              <w:right w:val="single" w:sz="2" w:space="0" w:color="000000"/>
            </w:tcBorders>
            <w:vAlign w:val="center"/>
          </w:tcPr>
          <w:p w14:paraId="56F0DC44" w14:textId="034B86B9" w:rsidR="005A3BC6" w:rsidRPr="00456D6E" w:rsidRDefault="005A3BC6" w:rsidP="00721EBF">
            <w:pPr>
              <w:spacing w:after="12" w:line="252" w:lineRule="auto"/>
              <w:ind w:right="14"/>
              <w:jc w:val="center"/>
              <w:rPr>
                <w:rFonts w:ascii="Times New Roman" w:eastAsia="Times New Roman" w:hAnsi="Times New Roman" w:cs="Times New Roman"/>
                <w:b/>
                <w:bCs/>
                <w:sz w:val="20"/>
                <w:szCs w:val="20"/>
              </w:rPr>
            </w:pPr>
            <w:r w:rsidRPr="00456D6E">
              <w:rPr>
                <w:rFonts w:ascii="Times New Roman" w:eastAsia="Times New Roman" w:hAnsi="Times New Roman" w:cs="Times New Roman"/>
                <w:b/>
                <w:bCs/>
                <w:sz w:val="20"/>
                <w:szCs w:val="20"/>
              </w:rPr>
              <w:t>CREȘTERE % redevență propusă vs. actuală</w:t>
            </w:r>
          </w:p>
        </w:tc>
      </w:tr>
      <w:tr w:rsidR="00456D6E" w:rsidRPr="00456D6E" w14:paraId="7032C27F" w14:textId="77777777" w:rsidTr="00721EBF">
        <w:trPr>
          <w:trHeight w:val="305"/>
        </w:trPr>
        <w:tc>
          <w:tcPr>
            <w:tcW w:w="1257" w:type="dxa"/>
            <w:tcBorders>
              <w:top w:val="single" w:sz="2" w:space="0" w:color="000000"/>
              <w:left w:val="single" w:sz="2" w:space="0" w:color="000000"/>
              <w:bottom w:val="single" w:sz="2" w:space="0" w:color="000000"/>
              <w:right w:val="single" w:sz="2" w:space="0" w:color="000000"/>
            </w:tcBorders>
          </w:tcPr>
          <w:p w14:paraId="1B7E9664" w14:textId="4C34718E" w:rsidR="005A3BC6" w:rsidRPr="00456D6E" w:rsidRDefault="005A3BC6"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0</w:t>
            </w:r>
          </w:p>
        </w:tc>
        <w:tc>
          <w:tcPr>
            <w:tcW w:w="2552" w:type="dxa"/>
            <w:tcBorders>
              <w:top w:val="single" w:sz="2" w:space="0" w:color="000000"/>
              <w:left w:val="single" w:sz="2" w:space="0" w:color="000000"/>
              <w:bottom w:val="single" w:sz="2" w:space="0" w:color="000000"/>
              <w:right w:val="single" w:sz="2" w:space="0" w:color="000000"/>
            </w:tcBorders>
          </w:tcPr>
          <w:p w14:paraId="625C2C4E" w14:textId="037C1FEF" w:rsidR="005A3BC6" w:rsidRPr="00456D6E" w:rsidRDefault="005A3BC6"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w:t>
            </w:r>
          </w:p>
        </w:tc>
        <w:tc>
          <w:tcPr>
            <w:tcW w:w="2555" w:type="dxa"/>
            <w:tcBorders>
              <w:top w:val="single" w:sz="2" w:space="0" w:color="000000"/>
              <w:left w:val="single" w:sz="2" w:space="0" w:color="000000"/>
              <w:bottom w:val="single" w:sz="2" w:space="0" w:color="000000"/>
              <w:right w:val="single" w:sz="2" w:space="0" w:color="000000"/>
            </w:tcBorders>
          </w:tcPr>
          <w:p w14:paraId="051C8C19" w14:textId="4BE1B432" w:rsidR="005A3BC6" w:rsidRPr="00456D6E" w:rsidRDefault="005A3BC6"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w:t>
            </w:r>
          </w:p>
        </w:tc>
        <w:tc>
          <w:tcPr>
            <w:tcW w:w="2121" w:type="dxa"/>
            <w:tcBorders>
              <w:top w:val="single" w:sz="2" w:space="0" w:color="000000"/>
              <w:left w:val="single" w:sz="2" w:space="0" w:color="000000"/>
              <w:bottom w:val="single" w:sz="2" w:space="0" w:color="000000"/>
              <w:right w:val="single" w:sz="2" w:space="0" w:color="000000"/>
            </w:tcBorders>
          </w:tcPr>
          <w:p w14:paraId="333753CE" w14:textId="2CCABE9E" w:rsidR="005A3BC6" w:rsidRPr="00456D6E" w:rsidRDefault="005A3BC6"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w:t>
            </w:r>
          </w:p>
        </w:tc>
        <w:tc>
          <w:tcPr>
            <w:tcW w:w="2122" w:type="dxa"/>
            <w:tcBorders>
              <w:top w:val="single" w:sz="2" w:space="0" w:color="000000"/>
              <w:left w:val="single" w:sz="2" w:space="0" w:color="000000"/>
              <w:bottom w:val="single" w:sz="2" w:space="0" w:color="000000"/>
              <w:right w:val="single" w:sz="2" w:space="0" w:color="000000"/>
            </w:tcBorders>
          </w:tcPr>
          <w:p w14:paraId="6C96CC91" w14:textId="78FF837E" w:rsidR="005A3BC6" w:rsidRPr="00456D6E" w:rsidRDefault="005A3BC6"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 = 3/2</w:t>
            </w:r>
          </w:p>
        </w:tc>
      </w:tr>
      <w:tr w:rsidR="00456D6E" w:rsidRPr="00456D6E" w14:paraId="32C01780" w14:textId="77777777" w:rsidTr="00721EBF">
        <w:tc>
          <w:tcPr>
            <w:tcW w:w="1257" w:type="dxa"/>
          </w:tcPr>
          <w:p w14:paraId="79326124" w14:textId="0F021015"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w:t>
            </w:r>
          </w:p>
        </w:tc>
        <w:tc>
          <w:tcPr>
            <w:tcW w:w="2552" w:type="dxa"/>
          </w:tcPr>
          <w:p w14:paraId="1CC59C24" w14:textId="5D2FA150"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SATU MARE</w:t>
            </w:r>
          </w:p>
        </w:tc>
        <w:tc>
          <w:tcPr>
            <w:tcW w:w="2555" w:type="dxa"/>
          </w:tcPr>
          <w:p w14:paraId="6403C082" w14:textId="074C4FEF"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600.000</w:t>
            </w:r>
          </w:p>
        </w:tc>
        <w:tc>
          <w:tcPr>
            <w:tcW w:w="2121" w:type="dxa"/>
          </w:tcPr>
          <w:p w14:paraId="7EFD143D" w14:textId="15A33D72"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1.300.000</w:t>
            </w:r>
          </w:p>
        </w:tc>
        <w:tc>
          <w:tcPr>
            <w:tcW w:w="2122" w:type="dxa"/>
          </w:tcPr>
          <w:p w14:paraId="4DFE6045" w14:textId="32790C0A"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217%</w:t>
            </w:r>
          </w:p>
        </w:tc>
      </w:tr>
      <w:tr w:rsidR="00456D6E" w:rsidRPr="00456D6E" w14:paraId="25FB3CA5" w14:textId="77777777" w:rsidTr="00721EBF">
        <w:tc>
          <w:tcPr>
            <w:tcW w:w="1257" w:type="dxa"/>
          </w:tcPr>
          <w:p w14:paraId="0E525A93" w14:textId="68CFBC5D"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w:t>
            </w:r>
          </w:p>
        </w:tc>
        <w:tc>
          <w:tcPr>
            <w:tcW w:w="2552" w:type="dxa"/>
          </w:tcPr>
          <w:p w14:paraId="0869816A" w14:textId="047A28BC"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CAREI</w:t>
            </w:r>
          </w:p>
        </w:tc>
        <w:tc>
          <w:tcPr>
            <w:tcW w:w="2555" w:type="dxa"/>
          </w:tcPr>
          <w:p w14:paraId="529661F9" w14:textId="5D796BD1"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98.000</w:t>
            </w:r>
          </w:p>
        </w:tc>
        <w:tc>
          <w:tcPr>
            <w:tcW w:w="2121" w:type="dxa"/>
          </w:tcPr>
          <w:p w14:paraId="6E397C93" w14:textId="162A219F"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230.000</w:t>
            </w:r>
          </w:p>
        </w:tc>
        <w:tc>
          <w:tcPr>
            <w:tcW w:w="2122" w:type="dxa"/>
          </w:tcPr>
          <w:p w14:paraId="2E6CFB8E" w14:textId="69588B6E"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235%</w:t>
            </w:r>
          </w:p>
        </w:tc>
      </w:tr>
      <w:tr w:rsidR="00456D6E" w:rsidRPr="00456D6E" w14:paraId="49F14A1D" w14:textId="77777777" w:rsidTr="00721EBF">
        <w:tc>
          <w:tcPr>
            <w:tcW w:w="1257" w:type="dxa"/>
          </w:tcPr>
          <w:p w14:paraId="3252596A" w14:textId="04E9DD6C"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lastRenderedPageBreak/>
              <w:t>3</w:t>
            </w:r>
          </w:p>
        </w:tc>
        <w:tc>
          <w:tcPr>
            <w:tcW w:w="2552" w:type="dxa"/>
          </w:tcPr>
          <w:p w14:paraId="1C3CF853" w14:textId="1AE01F46"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TĂȘNAD</w:t>
            </w:r>
          </w:p>
        </w:tc>
        <w:tc>
          <w:tcPr>
            <w:tcW w:w="2555" w:type="dxa"/>
          </w:tcPr>
          <w:p w14:paraId="6A0F4032" w14:textId="231C8C42"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30.000</w:t>
            </w:r>
          </w:p>
        </w:tc>
        <w:tc>
          <w:tcPr>
            <w:tcW w:w="2121" w:type="dxa"/>
          </w:tcPr>
          <w:p w14:paraId="661EB945" w14:textId="193D92ED"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75.000</w:t>
            </w:r>
          </w:p>
        </w:tc>
        <w:tc>
          <w:tcPr>
            <w:tcW w:w="2122" w:type="dxa"/>
          </w:tcPr>
          <w:p w14:paraId="43B6769D" w14:textId="6A3A447E"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250%</w:t>
            </w:r>
          </w:p>
        </w:tc>
      </w:tr>
      <w:tr w:rsidR="00456D6E" w:rsidRPr="00456D6E" w14:paraId="3000DA4B" w14:textId="77777777" w:rsidTr="00721EBF">
        <w:tc>
          <w:tcPr>
            <w:tcW w:w="1257" w:type="dxa"/>
          </w:tcPr>
          <w:p w14:paraId="48B515A6" w14:textId="58629108"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w:t>
            </w:r>
          </w:p>
        </w:tc>
        <w:tc>
          <w:tcPr>
            <w:tcW w:w="2552" w:type="dxa"/>
          </w:tcPr>
          <w:p w14:paraId="660C5659" w14:textId="5862B207"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ARDUD</w:t>
            </w:r>
          </w:p>
        </w:tc>
        <w:tc>
          <w:tcPr>
            <w:tcW w:w="2555" w:type="dxa"/>
          </w:tcPr>
          <w:p w14:paraId="02597465" w14:textId="5D549361"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9.000</w:t>
            </w:r>
          </w:p>
        </w:tc>
        <w:tc>
          <w:tcPr>
            <w:tcW w:w="2121" w:type="dxa"/>
          </w:tcPr>
          <w:p w14:paraId="3CD2F4EC" w14:textId="10A6CC1B"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27.000</w:t>
            </w:r>
          </w:p>
        </w:tc>
        <w:tc>
          <w:tcPr>
            <w:tcW w:w="2122" w:type="dxa"/>
          </w:tcPr>
          <w:p w14:paraId="040ADE5A" w14:textId="69F0CF72"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300%</w:t>
            </w:r>
          </w:p>
        </w:tc>
      </w:tr>
      <w:tr w:rsidR="00456D6E" w:rsidRPr="00456D6E" w14:paraId="3E8364EE" w14:textId="77777777" w:rsidTr="00721EBF">
        <w:tc>
          <w:tcPr>
            <w:tcW w:w="1257" w:type="dxa"/>
          </w:tcPr>
          <w:p w14:paraId="2BC3408B" w14:textId="565325A0"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5</w:t>
            </w:r>
          </w:p>
        </w:tc>
        <w:tc>
          <w:tcPr>
            <w:tcW w:w="2552" w:type="dxa"/>
          </w:tcPr>
          <w:p w14:paraId="7C8FF167" w14:textId="4ED74377"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LIVADA</w:t>
            </w:r>
          </w:p>
        </w:tc>
        <w:tc>
          <w:tcPr>
            <w:tcW w:w="2555" w:type="dxa"/>
          </w:tcPr>
          <w:p w14:paraId="392D059D" w14:textId="33440BFD"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6.500</w:t>
            </w:r>
          </w:p>
        </w:tc>
        <w:tc>
          <w:tcPr>
            <w:tcW w:w="2121" w:type="dxa"/>
          </w:tcPr>
          <w:p w14:paraId="0F3D21FE" w14:textId="548CC7FE"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18.500</w:t>
            </w:r>
          </w:p>
        </w:tc>
        <w:tc>
          <w:tcPr>
            <w:tcW w:w="2122" w:type="dxa"/>
          </w:tcPr>
          <w:p w14:paraId="374DCB77" w14:textId="37E1485F"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285%</w:t>
            </w:r>
          </w:p>
        </w:tc>
      </w:tr>
      <w:tr w:rsidR="00456D6E" w:rsidRPr="00456D6E" w14:paraId="6F8DD528" w14:textId="77777777" w:rsidTr="00721EBF">
        <w:tc>
          <w:tcPr>
            <w:tcW w:w="1257" w:type="dxa"/>
          </w:tcPr>
          <w:p w14:paraId="51C3C9FD" w14:textId="58A229F8"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6</w:t>
            </w:r>
          </w:p>
        </w:tc>
        <w:tc>
          <w:tcPr>
            <w:tcW w:w="2552" w:type="dxa"/>
          </w:tcPr>
          <w:p w14:paraId="5F28CC58" w14:textId="6030F78B"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NEGREȘTI OAȘ</w:t>
            </w:r>
          </w:p>
        </w:tc>
        <w:tc>
          <w:tcPr>
            <w:tcW w:w="2555" w:type="dxa"/>
          </w:tcPr>
          <w:p w14:paraId="3B343937" w14:textId="51957147"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40.500</w:t>
            </w:r>
          </w:p>
        </w:tc>
        <w:tc>
          <w:tcPr>
            <w:tcW w:w="2121" w:type="dxa"/>
          </w:tcPr>
          <w:p w14:paraId="5D83C660" w14:textId="6D278C34"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98.000</w:t>
            </w:r>
          </w:p>
        </w:tc>
        <w:tc>
          <w:tcPr>
            <w:tcW w:w="2122" w:type="dxa"/>
          </w:tcPr>
          <w:p w14:paraId="235E3116" w14:textId="213A97CF"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242%</w:t>
            </w:r>
          </w:p>
        </w:tc>
      </w:tr>
      <w:tr w:rsidR="00456D6E" w:rsidRPr="00456D6E" w14:paraId="505DF445" w14:textId="77777777" w:rsidTr="00721EBF">
        <w:tc>
          <w:tcPr>
            <w:tcW w:w="1257" w:type="dxa"/>
          </w:tcPr>
          <w:p w14:paraId="2F375A44" w14:textId="5FDEAFD9"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7</w:t>
            </w:r>
          </w:p>
        </w:tc>
        <w:tc>
          <w:tcPr>
            <w:tcW w:w="2552" w:type="dxa"/>
          </w:tcPr>
          <w:p w14:paraId="798EAA8E" w14:textId="7D0CF4E4"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BOTIZ</w:t>
            </w:r>
          </w:p>
        </w:tc>
        <w:tc>
          <w:tcPr>
            <w:tcW w:w="2555" w:type="dxa"/>
          </w:tcPr>
          <w:p w14:paraId="71321134" w14:textId="751BBF98"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18.000</w:t>
            </w:r>
          </w:p>
        </w:tc>
        <w:tc>
          <w:tcPr>
            <w:tcW w:w="2121" w:type="dxa"/>
          </w:tcPr>
          <w:p w14:paraId="28CAEF67" w14:textId="4492124B"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31.000</w:t>
            </w:r>
          </w:p>
        </w:tc>
        <w:tc>
          <w:tcPr>
            <w:tcW w:w="2122" w:type="dxa"/>
          </w:tcPr>
          <w:p w14:paraId="0C4F1179" w14:textId="32D4ACA0"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172%</w:t>
            </w:r>
          </w:p>
        </w:tc>
      </w:tr>
      <w:tr w:rsidR="00456D6E" w:rsidRPr="00456D6E" w14:paraId="405497E5" w14:textId="77777777" w:rsidTr="00721EBF">
        <w:tc>
          <w:tcPr>
            <w:tcW w:w="1257" w:type="dxa"/>
          </w:tcPr>
          <w:p w14:paraId="3F70E670" w14:textId="23EF46C0"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8</w:t>
            </w:r>
          </w:p>
        </w:tc>
        <w:tc>
          <w:tcPr>
            <w:tcW w:w="2552" w:type="dxa"/>
          </w:tcPr>
          <w:p w14:paraId="69453BB0" w14:textId="2D79F850"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CULCIU</w:t>
            </w:r>
          </w:p>
        </w:tc>
        <w:tc>
          <w:tcPr>
            <w:tcW w:w="2555" w:type="dxa"/>
          </w:tcPr>
          <w:p w14:paraId="200FC973" w14:textId="3B37D042"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6.000</w:t>
            </w:r>
          </w:p>
        </w:tc>
        <w:tc>
          <w:tcPr>
            <w:tcW w:w="2121" w:type="dxa"/>
          </w:tcPr>
          <w:p w14:paraId="18AFF395" w14:textId="673D3A7B"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17.000</w:t>
            </w:r>
          </w:p>
        </w:tc>
        <w:tc>
          <w:tcPr>
            <w:tcW w:w="2122" w:type="dxa"/>
          </w:tcPr>
          <w:p w14:paraId="31205473" w14:textId="32F97DF7"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283%</w:t>
            </w:r>
          </w:p>
        </w:tc>
      </w:tr>
      <w:tr w:rsidR="00456D6E" w:rsidRPr="00456D6E" w14:paraId="591F251F" w14:textId="77777777" w:rsidTr="00721EBF">
        <w:tc>
          <w:tcPr>
            <w:tcW w:w="1257" w:type="dxa"/>
          </w:tcPr>
          <w:p w14:paraId="0853F70C" w14:textId="28623B2F"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9</w:t>
            </w:r>
          </w:p>
        </w:tc>
        <w:tc>
          <w:tcPr>
            <w:tcW w:w="2552" w:type="dxa"/>
          </w:tcPr>
          <w:p w14:paraId="18394C72" w14:textId="5B85345E"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DOROLȚ</w:t>
            </w:r>
          </w:p>
        </w:tc>
        <w:tc>
          <w:tcPr>
            <w:tcW w:w="2555" w:type="dxa"/>
          </w:tcPr>
          <w:p w14:paraId="69367705" w14:textId="2036E021"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9.000</w:t>
            </w:r>
          </w:p>
        </w:tc>
        <w:tc>
          <w:tcPr>
            <w:tcW w:w="2121" w:type="dxa"/>
          </w:tcPr>
          <w:p w14:paraId="6980F133" w14:textId="74410DA1"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24.000</w:t>
            </w:r>
          </w:p>
        </w:tc>
        <w:tc>
          <w:tcPr>
            <w:tcW w:w="2122" w:type="dxa"/>
          </w:tcPr>
          <w:p w14:paraId="12B2316F" w14:textId="7EB4C9CD"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267%</w:t>
            </w:r>
          </w:p>
        </w:tc>
      </w:tr>
      <w:tr w:rsidR="00456D6E" w:rsidRPr="00456D6E" w14:paraId="0428430F" w14:textId="77777777" w:rsidTr="00721EBF">
        <w:tc>
          <w:tcPr>
            <w:tcW w:w="1257" w:type="dxa"/>
          </w:tcPr>
          <w:p w14:paraId="1AE00023" w14:textId="78AEC876"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w:t>
            </w:r>
          </w:p>
        </w:tc>
        <w:tc>
          <w:tcPr>
            <w:tcW w:w="2552" w:type="dxa"/>
          </w:tcPr>
          <w:p w14:paraId="1E720B72" w14:textId="644D54F8"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LAZURI</w:t>
            </w:r>
          </w:p>
        </w:tc>
        <w:tc>
          <w:tcPr>
            <w:tcW w:w="2555" w:type="dxa"/>
          </w:tcPr>
          <w:p w14:paraId="182DC7E4" w14:textId="05C1A2E9"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9.000</w:t>
            </w:r>
          </w:p>
        </w:tc>
        <w:tc>
          <w:tcPr>
            <w:tcW w:w="2121" w:type="dxa"/>
          </w:tcPr>
          <w:p w14:paraId="2F5A4780" w14:textId="70937EF0"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28.000</w:t>
            </w:r>
          </w:p>
        </w:tc>
        <w:tc>
          <w:tcPr>
            <w:tcW w:w="2122" w:type="dxa"/>
          </w:tcPr>
          <w:p w14:paraId="3575D2E4" w14:textId="6579A32A"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311%</w:t>
            </w:r>
          </w:p>
        </w:tc>
      </w:tr>
      <w:tr w:rsidR="00456D6E" w:rsidRPr="00456D6E" w14:paraId="70F44F14" w14:textId="77777777" w:rsidTr="00721EBF">
        <w:tc>
          <w:tcPr>
            <w:tcW w:w="1257" w:type="dxa"/>
          </w:tcPr>
          <w:p w14:paraId="17A13BD7" w14:textId="06756458"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11</w:t>
            </w:r>
          </w:p>
        </w:tc>
        <w:tc>
          <w:tcPr>
            <w:tcW w:w="2552" w:type="dxa"/>
          </w:tcPr>
          <w:p w14:paraId="1F817316" w14:textId="60972E87"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MICULA</w:t>
            </w:r>
          </w:p>
        </w:tc>
        <w:tc>
          <w:tcPr>
            <w:tcW w:w="2555" w:type="dxa"/>
          </w:tcPr>
          <w:p w14:paraId="4428CD83" w14:textId="22E0D17A"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1.700</w:t>
            </w:r>
          </w:p>
        </w:tc>
        <w:tc>
          <w:tcPr>
            <w:tcW w:w="2121" w:type="dxa"/>
          </w:tcPr>
          <w:p w14:paraId="6C60EF1B" w14:textId="25D10665"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9.000</w:t>
            </w:r>
          </w:p>
        </w:tc>
        <w:tc>
          <w:tcPr>
            <w:tcW w:w="2122" w:type="dxa"/>
          </w:tcPr>
          <w:p w14:paraId="5DC1DAD0" w14:textId="5EEF18B2"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529%</w:t>
            </w:r>
          </w:p>
        </w:tc>
      </w:tr>
      <w:tr w:rsidR="00456D6E" w:rsidRPr="00456D6E" w14:paraId="781200D9" w14:textId="77777777" w:rsidTr="00721EBF">
        <w:tc>
          <w:tcPr>
            <w:tcW w:w="1257" w:type="dxa"/>
          </w:tcPr>
          <w:p w14:paraId="678A9339" w14:textId="159353DC"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12</w:t>
            </w:r>
          </w:p>
        </w:tc>
        <w:tc>
          <w:tcPr>
            <w:tcW w:w="2552" w:type="dxa"/>
          </w:tcPr>
          <w:p w14:paraId="4A3ECD58" w14:textId="5004E7AD"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ODOREU</w:t>
            </w:r>
          </w:p>
        </w:tc>
        <w:tc>
          <w:tcPr>
            <w:tcW w:w="2555" w:type="dxa"/>
          </w:tcPr>
          <w:p w14:paraId="6658886D" w14:textId="6738BFFF"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19.000</w:t>
            </w:r>
          </w:p>
        </w:tc>
        <w:tc>
          <w:tcPr>
            <w:tcW w:w="2121" w:type="dxa"/>
          </w:tcPr>
          <w:p w14:paraId="6D76A72B" w14:textId="072A85E9"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50.000</w:t>
            </w:r>
          </w:p>
        </w:tc>
        <w:tc>
          <w:tcPr>
            <w:tcW w:w="2122" w:type="dxa"/>
          </w:tcPr>
          <w:p w14:paraId="7BF81A33" w14:textId="0560012F"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263%</w:t>
            </w:r>
          </w:p>
        </w:tc>
      </w:tr>
      <w:tr w:rsidR="00456D6E" w:rsidRPr="00456D6E" w14:paraId="5694FD8D" w14:textId="77777777" w:rsidTr="00721EBF">
        <w:tc>
          <w:tcPr>
            <w:tcW w:w="1257" w:type="dxa"/>
          </w:tcPr>
          <w:p w14:paraId="65B77B71" w14:textId="4F1A0AC4"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13</w:t>
            </w:r>
          </w:p>
        </w:tc>
        <w:tc>
          <w:tcPr>
            <w:tcW w:w="2552" w:type="dxa"/>
          </w:tcPr>
          <w:p w14:paraId="4B078C92" w14:textId="351BDEDD"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PĂULEȘTI</w:t>
            </w:r>
          </w:p>
        </w:tc>
        <w:tc>
          <w:tcPr>
            <w:tcW w:w="2555" w:type="dxa"/>
          </w:tcPr>
          <w:p w14:paraId="7BA893CD" w14:textId="0941A013"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18.000</w:t>
            </w:r>
          </w:p>
        </w:tc>
        <w:tc>
          <w:tcPr>
            <w:tcW w:w="2121" w:type="dxa"/>
          </w:tcPr>
          <w:p w14:paraId="0D3B2CB7" w14:textId="35A6BFEF"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45.000</w:t>
            </w:r>
          </w:p>
        </w:tc>
        <w:tc>
          <w:tcPr>
            <w:tcW w:w="2122" w:type="dxa"/>
          </w:tcPr>
          <w:p w14:paraId="322F2B18" w14:textId="591E1528"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250%</w:t>
            </w:r>
          </w:p>
        </w:tc>
      </w:tr>
      <w:tr w:rsidR="00456D6E" w:rsidRPr="00456D6E" w14:paraId="734C85F8" w14:textId="77777777" w:rsidTr="00721EBF">
        <w:tc>
          <w:tcPr>
            <w:tcW w:w="1257" w:type="dxa"/>
          </w:tcPr>
          <w:p w14:paraId="2CCFEF27" w14:textId="721E777F"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14</w:t>
            </w:r>
          </w:p>
        </w:tc>
        <w:tc>
          <w:tcPr>
            <w:tcW w:w="2552" w:type="dxa"/>
          </w:tcPr>
          <w:p w14:paraId="40167858" w14:textId="15DB266B"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VETIȘ</w:t>
            </w:r>
          </w:p>
        </w:tc>
        <w:tc>
          <w:tcPr>
            <w:tcW w:w="2555" w:type="dxa"/>
          </w:tcPr>
          <w:p w14:paraId="3913A541" w14:textId="135DA446"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5.500</w:t>
            </w:r>
          </w:p>
        </w:tc>
        <w:tc>
          <w:tcPr>
            <w:tcW w:w="2121" w:type="dxa"/>
          </w:tcPr>
          <w:p w14:paraId="41B78DEC" w14:textId="0A73DD43"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29.000</w:t>
            </w:r>
          </w:p>
        </w:tc>
        <w:tc>
          <w:tcPr>
            <w:tcW w:w="2122" w:type="dxa"/>
          </w:tcPr>
          <w:p w14:paraId="39CC725F" w14:textId="19FBFFED"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527%</w:t>
            </w:r>
          </w:p>
        </w:tc>
      </w:tr>
      <w:tr w:rsidR="00456D6E" w:rsidRPr="00456D6E" w14:paraId="130BD3FE" w14:textId="77777777" w:rsidTr="00721EBF">
        <w:tc>
          <w:tcPr>
            <w:tcW w:w="1257" w:type="dxa"/>
          </w:tcPr>
          <w:p w14:paraId="59BC64AB" w14:textId="7395DD7E"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15</w:t>
            </w:r>
          </w:p>
        </w:tc>
        <w:tc>
          <w:tcPr>
            <w:tcW w:w="2552" w:type="dxa"/>
          </w:tcPr>
          <w:p w14:paraId="2B6ECB6A" w14:textId="575F2608"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BERVENI</w:t>
            </w:r>
          </w:p>
        </w:tc>
        <w:tc>
          <w:tcPr>
            <w:tcW w:w="2555" w:type="dxa"/>
          </w:tcPr>
          <w:p w14:paraId="547E6C6F" w14:textId="7842D319"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2.100</w:t>
            </w:r>
          </w:p>
        </w:tc>
        <w:tc>
          <w:tcPr>
            <w:tcW w:w="2121" w:type="dxa"/>
          </w:tcPr>
          <w:p w14:paraId="1112D0BE" w14:textId="36A97040"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6.500</w:t>
            </w:r>
          </w:p>
        </w:tc>
        <w:tc>
          <w:tcPr>
            <w:tcW w:w="2122" w:type="dxa"/>
          </w:tcPr>
          <w:p w14:paraId="19DECA83" w14:textId="1D441EFE"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310%</w:t>
            </w:r>
          </w:p>
        </w:tc>
      </w:tr>
      <w:tr w:rsidR="00456D6E" w:rsidRPr="00456D6E" w14:paraId="49D47487" w14:textId="77777777" w:rsidTr="00721EBF">
        <w:tc>
          <w:tcPr>
            <w:tcW w:w="1257" w:type="dxa"/>
          </w:tcPr>
          <w:p w14:paraId="47D066ED" w14:textId="5965C4A6"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16</w:t>
            </w:r>
          </w:p>
        </w:tc>
        <w:tc>
          <w:tcPr>
            <w:tcW w:w="2552" w:type="dxa"/>
          </w:tcPr>
          <w:p w14:paraId="21098005" w14:textId="3035EDFF"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DOBA</w:t>
            </w:r>
          </w:p>
        </w:tc>
        <w:tc>
          <w:tcPr>
            <w:tcW w:w="2555" w:type="dxa"/>
          </w:tcPr>
          <w:p w14:paraId="04810534" w14:textId="1FF81360"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3.500</w:t>
            </w:r>
          </w:p>
        </w:tc>
        <w:tc>
          <w:tcPr>
            <w:tcW w:w="2121" w:type="dxa"/>
          </w:tcPr>
          <w:p w14:paraId="64B15702" w14:textId="0B0C0526"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10.500</w:t>
            </w:r>
          </w:p>
        </w:tc>
        <w:tc>
          <w:tcPr>
            <w:tcW w:w="2122" w:type="dxa"/>
          </w:tcPr>
          <w:p w14:paraId="0263CDA2" w14:textId="672E29EA"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300%</w:t>
            </w:r>
          </w:p>
        </w:tc>
      </w:tr>
      <w:tr w:rsidR="00456D6E" w:rsidRPr="00456D6E" w14:paraId="7E1E9404"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76872D1E" w14:textId="133733CE"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17</w:t>
            </w:r>
          </w:p>
        </w:tc>
        <w:tc>
          <w:tcPr>
            <w:tcW w:w="2552" w:type="dxa"/>
            <w:tcBorders>
              <w:top w:val="single" w:sz="2" w:space="0" w:color="000000"/>
              <w:left w:val="single" w:sz="2" w:space="0" w:color="000000"/>
              <w:bottom w:val="single" w:sz="2" w:space="0" w:color="000000"/>
              <w:right w:val="single" w:sz="2" w:space="0" w:color="000000"/>
            </w:tcBorders>
          </w:tcPr>
          <w:p w14:paraId="3ADAD315" w14:textId="47CB254D"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MOFTIN</w:t>
            </w:r>
          </w:p>
        </w:tc>
        <w:tc>
          <w:tcPr>
            <w:tcW w:w="2555" w:type="dxa"/>
            <w:tcBorders>
              <w:top w:val="single" w:sz="2" w:space="0" w:color="000000"/>
              <w:left w:val="single" w:sz="2" w:space="0" w:color="000000"/>
              <w:bottom w:val="single" w:sz="2" w:space="0" w:color="000000"/>
              <w:right w:val="single" w:sz="2" w:space="0" w:color="000000"/>
            </w:tcBorders>
          </w:tcPr>
          <w:p w14:paraId="77E097C7" w14:textId="5762CF0B"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4.500</w:t>
            </w:r>
          </w:p>
        </w:tc>
        <w:tc>
          <w:tcPr>
            <w:tcW w:w="2121" w:type="dxa"/>
            <w:tcBorders>
              <w:top w:val="single" w:sz="2" w:space="0" w:color="000000"/>
              <w:left w:val="single" w:sz="2" w:space="0" w:color="000000"/>
              <w:bottom w:val="single" w:sz="2" w:space="0" w:color="000000"/>
              <w:right w:val="single" w:sz="2" w:space="0" w:color="000000"/>
            </w:tcBorders>
          </w:tcPr>
          <w:p w14:paraId="7E2BB49C" w14:textId="04ADAB32"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14.500</w:t>
            </w:r>
          </w:p>
        </w:tc>
        <w:tc>
          <w:tcPr>
            <w:tcW w:w="2122" w:type="dxa"/>
            <w:tcBorders>
              <w:top w:val="single" w:sz="2" w:space="0" w:color="000000"/>
              <w:left w:val="single" w:sz="2" w:space="0" w:color="000000"/>
              <w:bottom w:val="single" w:sz="2" w:space="0" w:color="000000"/>
              <w:right w:val="single" w:sz="2" w:space="0" w:color="000000"/>
            </w:tcBorders>
          </w:tcPr>
          <w:p w14:paraId="6DBCC6AC" w14:textId="158D5A9C"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322%</w:t>
            </w:r>
          </w:p>
        </w:tc>
      </w:tr>
      <w:tr w:rsidR="00456D6E" w:rsidRPr="00456D6E" w14:paraId="30543E76"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76214E11" w14:textId="6AD9C40C"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18</w:t>
            </w:r>
          </w:p>
        </w:tc>
        <w:tc>
          <w:tcPr>
            <w:tcW w:w="2552" w:type="dxa"/>
            <w:tcBorders>
              <w:top w:val="single" w:sz="2" w:space="0" w:color="000000"/>
              <w:left w:val="single" w:sz="2" w:space="0" w:color="000000"/>
              <w:bottom w:val="single" w:sz="2" w:space="0" w:color="000000"/>
              <w:right w:val="single" w:sz="2" w:space="0" w:color="000000"/>
            </w:tcBorders>
          </w:tcPr>
          <w:p w14:paraId="76BCE2AD" w14:textId="3F42F519"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URZICENI</w:t>
            </w:r>
          </w:p>
        </w:tc>
        <w:tc>
          <w:tcPr>
            <w:tcW w:w="2555" w:type="dxa"/>
            <w:tcBorders>
              <w:top w:val="single" w:sz="2" w:space="0" w:color="000000"/>
              <w:left w:val="single" w:sz="2" w:space="0" w:color="000000"/>
              <w:bottom w:val="single" w:sz="2" w:space="0" w:color="000000"/>
              <w:right w:val="single" w:sz="2" w:space="0" w:color="000000"/>
            </w:tcBorders>
          </w:tcPr>
          <w:p w14:paraId="4750F478" w14:textId="06C199ED"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2.500</w:t>
            </w:r>
          </w:p>
        </w:tc>
        <w:tc>
          <w:tcPr>
            <w:tcW w:w="2121" w:type="dxa"/>
            <w:tcBorders>
              <w:top w:val="single" w:sz="2" w:space="0" w:color="000000"/>
              <w:left w:val="single" w:sz="2" w:space="0" w:color="000000"/>
              <w:bottom w:val="single" w:sz="2" w:space="0" w:color="000000"/>
              <w:right w:val="single" w:sz="2" w:space="0" w:color="000000"/>
            </w:tcBorders>
          </w:tcPr>
          <w:p w14:paraId="07BF6F8C" w14:textId="4C3AC468"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6.000</w:t>
            </w:r>
          </w:p>
        </w:tc>
        <w:tc>
          <w:tcPr>
            <w:tcW w:w="2122" w:type="dxa"/>
            <w:tcBorders>
              <w:top w:val="single" w:sz="2" w:space="0" w:color="000000"/>
              <w:left w:val="single" w:sz="2" w:space="0" w:color="000000"/>
              <w:bottom w:val="single" w:sz="2" w:space="0" w:color="000000"/>
              <w:right w:val="single" w:sz="2" w:space="0" w:color="000000"/>
            </w:tcBorders>
          </w:tcPr>
          <w:p w14:paraId="5626FA11" w14:textId="058DA32D"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240%</w:t>
            </w:r>
          </w:p>
        </w:tc>
      </w:tr>
      <w:tr w:rsidR="00456D6E" w:rsidRPr="00456D6E" w14:paraId="749C4DEB"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2AECF801" w14:textId="25B99D36"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19</w:t>
            </w:r>
          </w:p>
        </w:tc>
        <w:tc>
          <w:tcPr>
            <w:tcW w:w="2552" w:type="dxa"/>
            <w:tcBorders>
              <w:top w:val="single" w:sz="2" w:space="0" w:color="000000"/>
              <w:left w:val="single" w:sz="2" w:space="0" w:color="000000"/>
              <w:bottom w:val="single" w:sz="2" w:space="0" w:color="000000"/>
              <w:right w:val="single" w:sz="2" w:space="0" w:color="000000"/>
            </w:tcBorders>
          </w:tcPr>
          <w:p w14:paraId="5FF30E9C" w14:textId="5CD0EC5E"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CRAIDOROLT</w:t>
            </w:r>
          </w:p>
        </w:tc>
        <w:tc>
          <w:tcPr>
            <w:tcW w:w="2555" w:type="dxa"/>
            <w:tcBorders>
              <w:top w:val="single" w:sz="2" w:space="0" w:color="000000"/>
              <w:left w:val="single" w:sz="2" w:space="0" w:color="000000"/>
              <w:bottom w:val="single" w:sz="2" w:space="0" w:color="000000"/>
              <w:right w:val="single" w:sz="2" w:space="0" w:color="000000"/>
            </w:tcBorders>
          </w:tcPr>
          <w:p w14:paraId="0A84651F" w14:textId="5608C47D"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1.500</w:t>
            </w:r>
          </w:p>
        </w:tc>
        <w:tc>
          <w:tcPr>
            <w:tcW w:w="2121" w:type="dxa"/>
            <w:tcBorders>
              <w:top w:val="single" w:sz="2" w:space="0" w:color="000000"/>
              <w:left w:val="single" w:sz="2" w:space="0" w:color="000000"/>
              <w:bottom w:val="single" w:sz="2" w:space="0" w:color="000000"/>
              <w:right w:val="single" w:sz="2" w:space="0" w:color="000000"/>
            </w:tcBorders>
          </w:tcPr>
          <w:p w14:paraId="1427FFB3" w14:textId="2966D04B"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3.000</w:t>
            </w:r>
          </w:p>
        </w:tc>
        <w:tc>
          <w:tcPr>
            <w:tcW w:w="2122" w:type="dxa"/>
            <w:tcBorders>
              <w:top w:val="single" w:sz="2" w:space="0" w:color="000000"/>
              <w:left w:val="single" w:sz="2" w:space="0" w:color="000000"/>
              <w:bottom w:val="single" w:sz="2" w:space="0" w:color="000000"/>
              <w:right w:val="single" w:sz="2" w:space="0" w:color="000000"/>
            </w:tcBorders>
          </w:tcPr>
          <w:p w14:paraId="5D893AA9" w14:textId="6851A1C3"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200%</w:t>
            </w:r>
          </w:p>
        </w:tc>
      </w:tr>
      <w:tr w:rsidR="00456D6E" w:rsidRPr="00456D6E" w14:paraId="75C6C21D"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2B66191F" w14:textId="1EB7B1D9"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20</w:t>
            </w:r>
          </w:p>
        </w:tc>
        <w:tc>
          <w:tcPr>
            <w:tcW w:w="2552" w:type="dxa"/>
            <w:tcBorders>
              <w:top w:val="single" w:sz="2" w:space="0" w:color="000000"/>
              <w:left w:val="single" w:sz="2" w:space="0" w:color="000000"/>
              <w:bottom w:val="single" w:sz="2" w:space="0" w:color="000000"/>
              <w:right w:val="single" w:sz="2" w:space="0" w:color="000000"/>
            </w:tcBorders>
          </w:tcPr>
          <w:p w14:paraId="06DE91B5" w14:textId="082E9CEA"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CIUMEŞTI</w:t>
            </w:r>
          </w:p>
        </w:tc>
        <w:tc>
          <w:tcPr>
            <w:tcW w:w="2555" w:type="dxa"/>
            <w:tcBorders>
              <w:top w:val="single" w:sz="2" w:space="0" w:color="000000"/>
              <w:left w:val="single" w:sz="2" w:space="0" w:color="000000"/>
              <w:bottom w:val="single" w:sz="2" w:space="0" w:color="000000"/>
              <w:right w:val="single" w:sz="2" w:space="0" w:color="000000"/>
            </w:tcBorders>
          </w:tcPr>
          <w:p w14:paraId="23887F42" w14:textId="7F4670A1"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2.500</w:t>
            </w:r>
          </w:p>
        </w:tc>
        <w:tc>
          <w:tcPr>
            <w:tcW w:w="2121" w:type="dxa"/>
            <w:tcBorders>
              <w:top w:val="single" w:sz="2" w:space="0" w:color="000000"/>
              <w:left w:val="single" w:sz="2" w:space="0" w:color="000000"/>
              <w:bottom w:val="single" w:sz="2" w:space="0" w:color="000000"/>
              <w:right w:val="single" w:sz="2" w:space="0" w:color="000000"/>
            </w:tcBorders>
          </w:tcPr>
          <w:p w14:paraId="4686CAC9" w14:textId="4C5BD676"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7.500</w:t>
            </w:r>
          </w:p>
        </w:tc>
        <w:tc>
          <w:tcPr>
            <w:tcW w:w="2122" w:type="dxa"/>
            <w:tcBorders>
              <w:top w:val="single" w:sz="2" w:space="0" w:color="000000"/>
              <w:left w:val="single" w:sz="2" w:space="0" w:color="000000"/>
              <w:bottom w:val="single" w:sz="2" w:space="0" w:color="000000"/>
              <w:right w:val="single" w:sz="2" w:space="0" w:color="000000"/>
            </w:tcBorders>
          </w:tcPr>
          <w:p w14:paraId="3C1E699F" w14:textId="7A3F3E03"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300%</w:t>
            </w:r>
          </w:p>
        </w:tc>
      </w:tr>
      <w:tr w:rsidR="00456D6E" w:rsidRPr="00456D6E" w14:paraId="7D58F9B1"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6511CC11" w14:textId="673AEE6D"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21</w:t>
            </w:r>
          </w:p>
        </w:tc>
        <w:tc>
          <w:tcPr>
            <w:tcW w:w="2552" w:type="dxa"/>
            <w:tcBorders>
              <w:top w:val="single" w:sz="2" w:space="0" w:color="000000"/>
              <w:left w:val="single" w:sz="2" w:space="0" w:color="000000"/>
              <w:bottom w:val="single" w:sz="2" w:space="0" w:color="000000"/>
              <w:right w:val="single" w:sz="2" w:space="0" w:color="000000"/>
            </w:tcBorders>
          </w:tcPr>
          <w:p w14:paraId="76CE99FD" w14:textId="5AD9B6D2"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SANISLÂU</w:t>
            </w:r>
          </w:p>
        </w:tc>
        <w:tc>
          <w:tcPr>
            <w:tcW w:w="2555" w:type="dxa"/>
            <w:tcBorders>
              <w:top w:val="single" w:sz="2" w:space="0" w:color="000000"/>
              <w:left w:val="single" w:sz="2" w:space="0" w:color="000000"/>
              <w:bottom w:val="single" w:sz="2" w:space="0" w:color="000000"/>
              <w:right w:val="single" w:sz="2" w:space="0" w:color="000000"/>
            </w:tcBorders>
          </w:tcPr>
          <w:p w14:paraId="6EF67BBD" w14:textId="6D476D5A"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3.500</w:t>
            </w:r>
          </w:p>
        </w:tc>
        <w:tc>
          <w:tcPr>
            <w:tcW w:w="2121" w:type="dxa"/>
            <w:tcBorders>
              <w:top w:val="single" w:sz="2" w:space="0" w:color="000000"/>
              <w:left w:val="single" w:sz="2" w:space="0" w:color="000000"/>
              <w:bottom w:val="single" w:sz="2" w:space="0" w:color="000000"/>
              <w:right w:val="single" w:sz="2" w:space="0" w:color="000000"/>
            </w:tcBorders>
          </w:tcPr>
          <w:p w14:paraId="00F5F32E" w14:textId="683B1871"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9.500</w:t>
            </w:r>
          </w:p>
        </w:tc>
        <w:tc>
          <w:tcPr>
            <w:tcW w:w="2122" w:type="dxa"/>
            <w:tcBorders>
              <w:top w:val="single" w:sz="2" w:space="0" w:color="000000"/>
              <w:left w:val="single" w:sz="2" w:space="0" w:color="000000"/>
              <w:bottom w:val="single" w:sz="2" w:space="0" w:color="000000"/>
              <w:right w:val="single" w:sz="2" w:space="0" w:color="000000"/>
            </w:tcBorders>
          </w:tcPr>
          <w:p w14:paraId="767EE660" w14:textId="3E25A5E8"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271%</w:t>
            </w:r>
          </w:p>
        </w:tc>
      </w:tr>
      <w:tr w:rsidR="00456D6E" w:rsidRPr="00456D6E" w14:paraId="3B3E3BEC"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596FFA9A" w14:textId="455A7C9D"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22</w:t>
            </w:r>
          </w:p>
        </w:tc>
        <w:tc>
          <w:tcPr>
            <w:tcW w:w="2552" w:type="dxa"/>
            <w:tcBorders>
              <w:top w:val="single" w:sz="2" w:space="0" w:color="000000"/>
              <w:left w:val="single" w:sz="2" w:space="0" w:color="000000"/>
              <w:bottom w:val="single" w:sz="2" w:space="0" w:color="000000"/>
              <w:right w:val="single" w:sz="2" w:space="0" w:color="000000"/>
            </w:tcBorders>
          </w:tcPr>
          <w:p w14:paraId="37EDD72A" w14:textId="3B6B69E1"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HALMEU</w:t>
            </w:r>
          </w:p>
        </w:tc>
        <w:tc>
          <w:tcPr>
            <w:tcW w:w="2555" w:type="dxa"/>
            <w:tcBorders>
              <w:top w:val="single" w:sz="2" w:space="0" w:color="000000"/>
              <w:left w:val="single" w:sz="2" w:space="0" w:color="000000"/>
              <w:bottom w:val="single" w:sz="2" w:space="0" w:color="000000"/>
              <w:right w:val="single" w:sz="2" w:space="0" w:color="000000"/>
            </w:tcBorders>
          </w:tcPr>
          <w:p w14:paraId="3A642B58" w14:textId="22C9A439"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2.000</w:t>
            </w:r>
          </w:p>
        </w:tc>
        <w:tc>
          <w:tcPr>
            <w:tcW w:w="2121" w:type="dxa"/>
            <w:tcBorders>
              <w:top w:val="single" w:sz="2" w:space="0" w:color="000000"/>
              <w:left w:val="single" w:sz="2" w:space="0" w:color="000000"/>
              <w:bottom w:val="single" w:sz="2" w:space="0" w:color="000000"/>
              <w:right w:val="single" w:sz="2" w:space="0" w:color="000000"/>
            </w:tcBorders>
          </w:tcPr>
          <w:p w14:paraId="2FDF9494" w14:textId="2CADDD20"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5.500</w:t>
            </w:r>
          </w:p>
        </w:tc>
        <w:tc>
          <w:tcPr>
            <w:tcW w:w="2122" w:type="dxa"/>
            <w:tcBorders>
              <w:top w:val="single" w:sz="2" w:space="0" w:color="000000"/>
              <w:left w:val="single" w:sz="2" w:space="0" w:color="000000"/>
              <w:bottom w:val="single" w:sz="2" w:space="0" w:color="000000"/>
              <w:right w:val="single" w:sz="2" w:space="0" w:color="000000"/>
            </w:tcBorders>
          </w:tcPr>
          <w:p w14:paraId="2F53C1CA" w14:textId="2508D3DE"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275%</w:t>
            </w:r>
          </w:p>
        </w:tc>
      </w:tr>
      <w:tr w:rsidR="00456D6E" w:rsidRPr="00456D6E" w14:paraId="4F1F3932"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5D8DA8E5" w14:textId="5EB4AAD0"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23</w:t>
            </w:r>
          </w:p>
        </w:tc>
        <w:tc>
          <w:tcPr>
            <w:tcW w:w="2552" w:type="dxa"/>
            <w:tcBorders>
              <w:top w:val="single" w:sz="2" w:space="0" w:color="000000"/>
              <w:left w:val="single" w:sz="2" w:space="0" w:color="000000"/>
              <w:bottom w:val="single" w:sz="2" w:space="0" w:color="000000"/>
              <w:right w:val="single" w:sz="2" w:space="0" w:color="000000"/>
            </w:tcBorders>
          </w:tcPr>
          <w:p w14:paraId="1E954311" w14:textId="5409CC1F"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TURULUNG</w:t>
            </w:r>
          </w:p>
        </w:tc>
        <w:tc>
          <w:tcPr>
            <w:tcW w:w="2555" w:type="dxa"/>
            <w:tcBorders>
              <w:top w:val="single" w:sz="2" w:space="0" w:color="000000"/>
              <w:left w:val="single" w:sz="2" w:space="0" w:color="000000"/>
              <w:bottom w:val="single" w:sz="2" w:space="0" w:color="000000"/>
              <w:right w:val="single" w:sz="2" w:space="0" w:color="000000"/>
            </w:tcBorders>
          </w:tcPr>
          <w:p w14:paraId="5F3AAFE7" w14:textId="16E8A3F2"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3.000</w:t>
            </w:r>
          </w:p>
        </w:tc>
        <w:tc>
          <w:tcPr>
            <w:tcW w:w="2121" w:type="dxa"/>
            <w:tcBorders>
              <w:top w:val="single" w:sz="2" w:space="0" w:color="000000"/>
              <w:left w:val="single" w:sz="2" w:space="0" w:color="000000"/>
              <w:bottom w:val="single" w:sz="2" w:space="0" w:color="000000"/>
              <w:right w:val="single" w:sz="2" w:space="0" w:color="000000"/>
            </w:tcBorders>
          </w:tcPr>
          <w:p w14:paraId="697B0AC1" w14:textId="75E636DB"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8.000</w:t>
            </w:r>
          </w:p>
        </w:tc>
        <w:tc>
          <w:tcPr>
            <w:tcW w:w="2122" w:type="dxa"/>
            <w:tcBorders>
              <w:top w:val="single" w:sz="2" w:space="0" w:color="000000"/>
              <w:left w:val="single" w:sz="2" w:space="0" w:color="000000"/>
              <w:bottom w:val="single" w:sz="2" w:space="0" w:color="000000"/>
              <w:right w:val="single" w:sz="2" w:space="0" w:color="000000"/>
            </w:tcBorders>
          </w:tcPr>
          <w:p w14:paraId="30588626" w14:textId="1BD35564"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267%</w:t>
            </w:r>
          </w:p>
        </w:tc>
      </w:tr>
      <w:tr w:rsidR="00456D6E" w:rsidRPr="00456D6E" w14:paraId="54444860"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7BE20163" w14:textId="157F8B1D"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24</w:t>
            </w:r>
          </w:p>
        </w:tc>
        <w:tc>
          <w:tcPr>
            <w:tcW w:w="2552" w:type="dxa"/>
            <w:tcBorders>
              <w:top w:val="single" w:sz="2" w:space="0" w:color="000000"/>
              <w:left w:val="single" w:sz="2" w:space="0" w:color="000000"/>
              <w:bottom w:val="single" w:sz="2" w:space="0" w:color="000000"/>
              <w:right w:val="single" w:sz="2" w:space="0" w:color="000000"/>
            </w:tcBorders>
          </w:tcPr>
          <w:p w14:paraId="285C2515" w14:textId="59088A56"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TEREBEŞTI</w:t>
            </w:r>
          </w:p>
        </w:tc>
        <w:tc>
          <w:tcPr>
            <w:tcW w:w="2555" w:type="dxa"/>
            <w:tcBorders>
              <w:top w:val="single" w:sz="2" w:space="0" w:color="000000"/>
              <w:left w:val="single" w:sz="2" w:space="0" w:color="000000"/>
              <w:bottom w:val="single" w:sz="2" w:space="0" w:color="000000"/>
              <w:right w:val="single" w:sz="2" w:space="0" w:color="000000"/>
            </w:tcBorders>
          </w:tcPr>
          <w:p w14:paraId="720762AE" w14:textId="37AFE4ED"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1.500</w:t>
            </w:r>
          </w:p>
        </w:tc>
        <w:tc>
          <w:tcPr>
            <w:tcW w:w="2121" w:type="dxa"/>
            <w:tcBorders>
              <w:top w:val="single" w:sz="2" w:space="0" w:color="000000"/>
              <w:left w:val="single" w:sz="2" w:space="0" w:color="000000"/>
              <w:bottom w:val="single" w:sz="2" w:space="0" w:color="000000"/>
              <w:right w:val="single" w:sz="2" w:space="0" w:color="000000"/>
            </w:tcBorders>
          </w:tcPr>
          <w:p w14:paraId="20619510" w14:textId="71EE3036"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4.500</w:t>
            </w:r>
          </w:p>
        </w:tc>
        <w:tc>
          <w:tcPr>
            <w:tcW w:w="2122" w:type="dxa"/>
            <w:tcBorders>
              <w:top w:val="single" w:sz="2" w:space="0" w:color="000000"/>
              <w:left w:val="single" w:sz="2" w:space="0" w:color="000000"/>
              <w:bottom w:val="single" w:sz="2" w:space="0" w:color="000000"/>
              <w:right w:val="single" w:sz="2" w:space="0" w:color="000000"/>
            </w:tcBorders>
          </w:tcPr>
          <w:p w14:paraId="5AA0575C" w14:textId="59BC78D5"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300%</w:t>
            </w:r>
          </w:p>
        </w:tc>
      </w:tr>
      <w:tr w:rsidR="00456D6E" w:rsidRPr="00456D6E" w14:paraId="7DD9A161"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5A99708D" w14:textId="2E746EE7"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25</w:t>
            </w:r>
          </w:p>
        </w:tc>
        <w:tc>
          <w:tcPr>
            <w:tcW w:w="2552" w:type="dxa"/>
            <w:tcBorders>
              <w:top w:val="single" w:sz="2" w:space="0" w:color="000000"/>
              <w:left w:val="single" w:sz="2" w:space="0" w:color="000000"/>
              <w:bottom w:val="single" w:sz="2" w:space="0" w:color="000000"/>
              <w:right w:val="single" w:sz="2" w:space="0" w:color="000000"/>
            </w:tcBorders>
          </w:tcPr>
          <w:p w14:paraId="4B7FBDB8" w14:textId="43CF607F"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ORAŞU NOU</w:t>
            </w:r>
          </w:p>
        </w:tc>
        <w:tc>
          <w:tcPr>
            <w:tcW w:w="2555" w:type="dxa"/>
            <w:tcBorders>
              <w:top w:val="single" w:sz="2" w:space="0" w:color="000000"/>
              <w:left w:val="single" w:sz="2" w:space="0" w:color="000000"/>
              <w:bottom w:val="single" w:sz="2" w:space="0" w:color="000000"/>
              <w:right w:val="single" w:sz="2" w:space="0" w:color="000000"/>
            </w:tcBorders>
          </w:tcPr>
          <w:p w14:paraId="7E9E1647" w14:textId="05B5B40B"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3.000</w:t>
            </w:r>
          </w:p>
        </w:tc>
        <w:tc>
          <w:tcPr>
            <w:tcW w:w="2121" w:type="dxa"/>
            <w:tcBorders>
              <w:top w:val="single" w:sz="2" w:space="0" w:color="000000"/>
              <w:left w:val="single" w:sz="2" w:space="0" w:color="000000"/>
              <w:bottom w:val="single" w:sz="2" w:space="0" w:color="000000"/>
              <w:right w:val="single" w:sz="2" w:space="0" w:color="000000"/>
            </w:tcBorders>
          </w:tcPr>
          <w:p w14:paraId="11C9AB37" w14:textId="26C8BD8C"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9.500</w:t>
            </w:r>
          </w:p>
        </w:tc>
        <w:tc>
          <w:tcPr>
            <w:tcW w:w="2122" w:type="dxa"/>
            <w:tcBorders>
              <w:top w:val="single" w:sz="2" w:space="0" w:color="000000"/>
              <w:left w:val="single" w:sz="2" w:space="0" w:color="000000"/>
              <w:bottom w:val="single" w:sz="2" w:space="0" w:color="000000"/>
              <w:right w:val="single" w:sz="2" w:space="0" w:color="000000"/>
            </w:tcBorders>
          </w:tcPr>
          <w:p w14:paraId="00BA158E" w14:textId="7E1C7C7F"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31796</w:t>
            </w:r>
          </w:p>
        </w:tc>
      </w:tr>
      <w:tr w:rsidR="00456D6E" w:rsidRPr="00456D6E" w14:paraId="3F53F6F8"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2110FA4E" w14:textId="25E10FC5"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26</w:t>
            </w:r>
          </w:p>
        </w:tc>
        <w:tc>
          <w:tcPr>
            <w:tcW w:w="2552" w:type="dxa"/>
            <w:tcBorders>
              <w:top w:val="single" w:sz="2" w:space="0" w:color="000000"/>
              <w:left w:val="single" w:sz="2" w:space="0" w:color="000000"/>
              <w:bottom w:val="single" w:sz="2" w:space="0" w:color="000000"/>
              <w:right w:val="single" w:sz="2" w:space="0" w:color="000000"/>
            </w:tcBorders>
          </w:tcPr>
          <w:p w14:paraId="235F4F4A" w14:textId="4626C751"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SÂUCA</w:t>
            </w:r>
          </w:p>
        </w:tc>
        <w:tc>
          <w:tcPr>
            <w:tcW w:w="2555" w:type="dxa"/>
            <w:tcBorders>
              <w:top w:val="single" w:sz="2" w:space="0" w:color="000000"/>
              <w:left w:val="single" w:sz="2" w:space="0" w:color="000000"/>
              <w:bottom w:val="single" w:sz="2" w:space="0" w:color="000000"/>
              <w:right w:val="single" w:sz="2" w:space="0" w:color="000000"/>
            </w:tcBorders>
          </w:tcPr>
          <w:p w14:paraId="1A719244" w14:textId="58B94498"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1.500</w:t>
            </w:r>
          </w:p>
        </w:tc>
        <w:tc>
          <w:tcPr>
            <w:tcW w:w="2121" w:type="dxa"/>
            <w:tcBorders>
              <w:top w:val="single" w:sz="2" w:space="0" w:color="000000"/>
              <w:left w:val="single" w:sz="2" w:space="0" w:color="000000"/>
              <w:bottom w:val="single" w:sz="2" w:space="0" w:color="000000"/>
              <w:right w:val="single" w:sz="2" w:space="0" w:color="000000"/>
            </w:tcBorders>
          </w:tcPr>
          <w:p w14:paraId="12050004" w14:textId="568950B6"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3.500</w:t>
            </w:r>
          </w:p>
        </w:tc>
        <w:tc>
          <w:tcPr>
            <w:tcW w:w="2122" w:type="dxa"/>
            <w:tcBorders>
              <w:top w:val="single" w:sz="2" w:space="0" w:color="000000"/>
              <w:left w:val="single" w:sz="2" w:space="0" w:color="000000"/>
              <w:bottom w:val="single" w:sz="2" w:space="0" w:color="000000"/>
              <w:right w:val="single" w:sz="2" w:space="0" w:color="000000"/>
            </w:tcBorders>
          </w:tcPr>
          <w:p w14:paraId="64DE4D9A" w14:textId="6CEA399F"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233%</w:t>
            </w:r>
          </w:p>
        </w:tc>
      </w:tr>
      <w:tr w:rsidR="00456D6E" w:rsidRPr="00456D6E" w14:paraId="7277033C"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133662C3" w14:textId="70B16AFD"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27</w:t>
            </w:r>
          </w:p>
        </w:tc>
        <w:tc>
          <w:tcPr>
            <w:tcW w:w="2552" w:type="dxa"/>
            <w:tcBorders>
              <w:top w:val="single" w:sz="2" w:space="0" w:color="000000"/>
              <w:left w:val="single" w:sz="2" w:space="0" w:color="000000"/>
              <w:bottom w:val="single" w:sz="2" w:space="0" w:color="000000"/>
              <w:right w:val="single" w:sz="2" w:space="0" w:color="000000"/>
            </w:tcBorders>
          </w:tcPr>
          <w:p w14:paraId="28777E13" w14:textId="61627135"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ŞUPUR</w:t>
            </w:r>
          </w:p>
        </w:tc>
        <w:tc>
          <w:tcPr>
            <w:tcW w:w="2555" w:type="dxa"/>
            <w:tcBorders>
              <w:top w:val="single" w:sz="2" w:space="0" w:color="000000"/>
              <w:left w:val="single" w:sz="2" w:space="0" w:color="000000"/>
              <w:bottom w:val="single" w:sz="2" w:space="0" w:color="000000"/>
              <w:right w:val="single" w:sz="2" w:space="0" w:color="000000"/>
            </w:tcBorders>
          </w:tcPr>
          <w:p w14:paraId="0B2C7154" w14:textId="189DDD7E"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3.500</w:t>
            </w:r>
          </w:p>
        </w:tc>
        <w:tc>
          <w:tcPr>
            <w:tcW w:w="2121" w:type="dxa"/>
            <w:tcBorders>
              <w:top w:val="single" w:sz="2" w:space="0" w:color="000000"/>
              <w:left w:val="single" w:sz="2" w:space="0" w:color="000000"/>
              <w:bottom w:val="single" w:sz="2" w:space="0" w:color="000000"/>
              <w:right w:val="single" w:sz="2" w:space="0" w:color="000000"/>
            </w:tcBorders>
          </w:tcPr>
          <w:p w14:paraId="43044F80" w14:textId="7B46D913"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12.500</w:t>
            </w:r>
          </w:p>
        </w:tc>
        <w:tc>
          <w:tcPr>
            <w:tcW w:w="2122" w:type="dxa"/>
            <w:tcBorders>
              <w:top w:val="single" w:sz="2" w:space="0" w:color="000000"/>
              <w:left w:val="single" w:sz="2" w:space="0" w:color="000000"/>
              <w:bottom w:val="single" w:sz="2" w:space="0" w:color="000000"/>
              <w:right w:val="single" w:sz="2" w:space="0" w:color="000000"/>
            </w:tcBorders>
          </w:tcPr>
          <w:p w14:paraId="176AACE1" w14:textId="6802B7D8"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357%</w:t>
            </w:r>
          </w:p>
        </w:tc>
      </w:tr>
      <w:tr w:rsidR="00456D6E" w:rsidRPr="00456D6E" w14:paraId="3932E641"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5AC40A48" w14:textId="4B53C2BE"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28</w:t>
            </w:r>
          </w:p>
        </w:tc>
        <w:tc>
          <w:tcPr>
            <w:tcW w:w="2552" w:type="dxa"/>
            <w:tcBorders>
              <w:top w:val="single" w:sz="2" w:space="0" w:color="000000"/>
              <w:left w:val="single" w:sz="2" w:space="0" w:color="000000"/>
              <w:bottom w:val="single" w:sz="2" w:space="0" w:color="000000"/>
              <w:right w:val="single" w:sz="2" w:space="0" w:color="000000"/>
            </w:tcBorders>
          </w:tcPr>
          <w:p w14:paraId="2DCB652B" w14:textId="6762D4BA"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CÂPLENI</w:t>
            </w:r>
          </w:p>
        </w:tc>
        <w:tc>
          <w:tcPr>
            <w:tcW w:w="2555" w:type="dxa"/>
            <w:tcBorders>
              <w:top w:val="single" w:sz="2" w:space="0" w:color="000000"/>
              <w:left w:val="single" w:sz="2" w:space="0" w:color="000000"/>
              <w:bottom w:val="single" w:sz="2" w:space="0" w:color="000000"/>
              <w:right w:val="single" w:sz="2" w:space="0" w:color="000000"/>
            </w:tcBorders>
          </w:tcPr>
          <w:p w14:paraId="6EF4E382" w14:textId="5587DE60"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4.000</w:t>
            </w:r>
          </w:p>
        </w:tc>
        <w:tc>
          <w:tcPr>
            <w:tcW w:w="2121" w:type="dxa"/>
            <w:tcBorders>
              <w:top w:val="single" w:sz="2" w:space="0" w:color="000000"/>
              <w:left w:val="single" w:sz="2" w:space="0" w:color="000000"/>
              <w:bottom w:val="single" w:sz="2" w:space="0" w:color="000000"/>
              <w:right w:val="single" w:sz="2" w:space="0" w:color="000000"/>
            </w:tcBorders>
          </w:tcPr>
          <w:p w14:paraId="43C8D79B" w14:textId="586AFDE9"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14.000</w:t>
            </w:r>
          </w:p>
        </w:tc>
        <w:tc>
          <w:tcPr>
            <w:tcW w:w="2122" w:type="dxa"/>
            <w:tcBorders>
              <w:top w:val="single" w:sz="2" w:space="0" w:color="000000"/>
              <w:left w:val="single" w:sz="2" w:space="0" w:color="000000"/>
              <w:bottom w:val="single" w:sz="2" w:space="0" w:color="000000"/>
              <w:right w:val="single" w:sz="2" w:space="0" w:color="000000"/>
            </w:tcBorders>
          </w:tcPr>
          <w:p w14:paraId="0B042603" w14:textId="1B9BC936"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350%</w:t>
            </w:r>
          </w:p>
        </w:tc>
      </w:tr>
      <w:tr w:rsidR="00456D6E" w:rsidRPr="00456D6E" w14:paraId="75F4FD4F"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70B8290C" w14:textId="4282CFDE"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29</w:t>
            </w:r>
          </w:p>
        </w:tc>
        <w:tc>
          <w:tcPr>
            <w:tcW w:w="2552" w:type="dxa"/>
            <w:tcBorders>
              <w:top w:val="single" w:sz="2" w:space="0" w:color="000000"/>
              <w:left w:val="single" w:sz="2" w:space="0" w:color="000000"/>
              <w:bottom w:val="single" w:sz="2" w:space="0" w:color="000000"/>
              <w:right w:val="single" w:sz="2" w:space="0" w:color="000000"/>
            </w:tcBorders>
          </w:tcPr>
          <w:p w14:paraId="640B9E9A" w14:textId="2F6D5AC8"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FOIENI</w:t>
            </w:r>
          </w:p>
        </w:tc>
        <w:tc>
          <w:tcPr>
            <w:tcW w:w="2555" w:type="dxa"/>
            <w:tcBorders>
              <w:top w:val="single" w:sz="2" w:space="0" w:color="000000"/>
              <w:left w:val="single" w:sz="2" w:space="0" w:color="000000"/>
              <w:bottom w:val="single" w:sz="2" w:space="0" w:color="000000"/>
              <w:right w:val="single" w:sz="2" w:space="0" w:color="000000"/>
            </w:tcBorders>
          </w:tcPr>
          <w:p w14:paraId="2CD073DB" w14:textId="11406A0C"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4.500</w:t>
            </w:r>
          </w:p>
        </w:tc>
        <w:tc>
          <w:tcPr>
            <w:tcW w:w="2121" w:type="dxa"/>
            <w:tcBorders>
              <w:top w:val="single" w:sz="2" w:space="0" w:color="000000"/>
              <w:left w:val="single" w:sz="2" w:space="0" w:color="000000"/>
              <w:bottom w:val="single" w:sz="2" w:space="0" w:color="000000"/>
              <w:right w:val="single" w:sz="2" w:space="0" w:color="000000"/>
            </w:tcBorders>
          </w:tcPr>
          <w:p w14:paraId="53F96057" w14:textId="6F311B75"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13.000</w:t>
            </w:r>
          </w:p>
        </w:tc>
        <w:tc>
          <w:tcPr>
            <w:tcW w:w="2122" w:type="dxa"/>
            <w:tcBorders>
              <w:top w:val="single" w:sz="2" w:space="0" w:color="000000"/>
              <w:left w:val="single" w:sz="2" w:space="0" w:color="000000"/>
              <w:bottom w:val="single" w:sz="2" w:space="0" w:color="000000"/>
              <w:right w:val="single" w:sz="2" w:space="0" w:color="000000"/>
            </w:tcBorders>
          </w:tcPr>
          <w:p w14:paraId="20F1C3E5" w14:textId="49F7542F"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289%</w:t>
            </w:r>
          </w:p>
        </w:tc>
      </w:tr>
      <w:tr w:rsidR="00456D6E" w:rsidRPr="00456D6E" w14:paraId="6D1448AA"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52A6A6BA" w14:textId="30657281"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30</w:t>
            </w:r>
          </w:p>
        </w:tc>
        <w:tc>
          <w:tcPr>
            <w:tcW w:w="2552" w:type="dxa"/>
            <w:tcBorders>
              <w:top w:val="single" w:sz="2" w:space="0" w:color="000000"/>
              <w:left w:val="single" w:sz="2" w:space="0" w:color="000000"/>
              <w:bottom w:val="single" w:sz="2" w:space="0" w:color="000000"/>
              <w:right w:val="single" w:sz="2" w:space="0" w:color="000000"/>
            </w:tcBorders>
          </w:tcPr>
          <w:p w14:paraId="5E56FE1E" w14:textId="3EE69A20"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BELTIUG</w:t>
            </w:r>
          </w:p>
        </w:tc>
        <w:tc>
          <w:tcPr>
            <w:tcW w:w="2555" w:type="dxa"/>
            <w:tcBorders>
              <w:top w:val="single" w:sz="2" w:space="0" w:color="000000"/>
              <w:left w:val="single" w:sz="2" w:space="0" w:color="000000"/>
              <w:bottom w:val="single" w:sz="2" w:space="0" w:color="000000"/>
              <w:right w:val="single" w:sz="2" w:space="0" w:color="000000"/>
            </w:tcBorders>
          </w:tcPr>
          <w:p w14:paraId="4A5FA8DA" w14:textId="2FB3A09B"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1.500</w:t>
            </w:r>
          </w:p>
        </w:tc>
        <w:tc>
          <w:tcPr>
            <w:tcW w:w="2121" w:type="dxa"/>
            <w:tcBorders>
              <w:top w:val="single" w:sz="2" w:space="0" w:color="000000"/>
              <w:left w:val="single" w:sz="2" w:space="0" w:color="000000"/>
              <w:bottom w:val="single" w:sz="2" w:space="0" w:color="000000"/>
              <w:right w:val="single" w:sz="2" w:space="0" w:color="000000"/>
            </w:tcBorders>
          </w:tcPr>
          <w:p w14:paraId="52DD98DF" w14:textId="19253221"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5.500</w:t>
            </w:r>
          </w:p>
        </w:tc>
        <w:tc>
          <w:tcPr>
            <w:tcW w:w="2122" w:type="dxa"/>
            <w:tcBorders>
              <w:top w:val="single" w:sz="2" w:space="0" w:color="000000"/>
              <w:left w:val="single" w:sz="2" w:space="0" w:color="000000"/>
              <w:bottom w:val="single" w:sz="2" w:space="0" w:color="000000"/>
              <w:right w:val="single" w:sz="2" w:space="0" w:color="000000"/>
            </w:tcBorders>
          </w:tcPr>
          <w:p w14:paraId="1A3E8F83" w14:textId="4300CAF8"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367%</w:t>
            </w:r>
          </w:p>
        </w:tc>
      </w:tr>
      <w:tr w:rsidR="00456D6E" w:rsidRPr="00456D6E" w14:paraId="0CA565AA"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3E3484D0" w14:textId="107761AA"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31</w:t>
            </w:r>
          </w:p>
        </w:tc>
        <w:tc>
          <w:tcPr>
            <w:tcW w:w="2552" w:type="dxa"/>
            <w:tcBorders>
              <w:top w:val="single" w:sz="2" w:space="0" w:color="000000"/>
              <w:left w:val="single" w:sz="2" w:space="0" w:color="000000"/>
              <w:bottom w:val="single" w:sz="2" w:space="0" w:color="000000"/>
              <w:right w:val="single" w:sz="2" w:space="0" w:color="000000"/>
            </w:tcBorders>
          </w:tcPr>
          <w:p w14:paraId="7FD7FE7E" w14:textId="4EEA7ADE"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CRUCIŞOR</w:t>
            </w:r>
          </w:p>
        </w:tc>
        <w:tc>
          <w:tcPr>
            <w:tcW w:w="2555" w:type="dxa"/>
            <w:tcBorders>
              <w:top w:val="single" w:sz="2" w:space="0" w:color="000000"/>
              <w:left w:val="single" w:sz="2" w:space="0" w:color="000000"/>
              <w:bottom w:val="single" w:sz="2" w:space="0" w:color="000000"/>
              <w:right w:val="single" w:sz="2" w:space="0" w:color="000000"/>
            </w:tcBorders>
          </w:tcPr>
          <w:p w14:paraId="1C4B2D4C" w14:textId="147874C3"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4.500</w:t>
            </w:r>
          </w:p>
        </w:tc>
        <w:tc>
          <w:tcPr>
            <w:tcW w:w="2121" w:type="dxa"/>
            <w:tcBorders>
              <w:top w:val="single" w:sz="2" w:space="0" w:color="000000"/>
              <w:left w:val="single" w:sz="2" w:space="0" w:color="000000"/>
              <w:bottom w:val="single" w:sz="2" w:space="0" w:color="000000"/>
              <w:right w:val="single" w:sz="2" w:space="0" w:color="000000"/>
            </w:tcBorders>
          </w:tcPr>
          <w:p w14:paraId="0B158A77" w14:textId="6C2415B5"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10.500</w:t>
            </w:r>
          </w:p>
        </w:tc>
        <w:tc>
          <w:tcPr>
            <w:tcW w:w="2122" w:type="dxa"/>
            <w:tcBorders>
              <w:top w:val="single" w:sz="2" w:space="0" w:color="000000"/>
              <w:left w:val="single" w:sz="2" w:space="0" w:color="000000"/>
              <w:bottom w:val="single" w:sz="2" w:space="0" w:color="000000"/>
              <w:right w:val="single" w:sz="2" w:space="0" w:color="000000"/>
            </w:tcBorders>
          </w:tcPr>
          <w:p w14:paraId="546DA024" w14:textId="3F61BBC9"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233%</w:t>
            </w:r>
          </w:p>
        </w:tc>
      </w:tr>
      <w:tr w:rsidR="00456D6E" w:rsidRPr="00456D6E" w14:paraId="1E7ACB19"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4039E367" w14:textId="236DF1C0"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32</w:t>
            </w:r>
          </w:p>
        </w:tc>
        <w:tc>
          <w:tcPr>
            <w:tcW w:w="2552" w:type="dxa"/>
            <w:tcBorders>
              <w:top w:val="single" w:sz="2" w:space="0" w:color="000000"/>
              <w:left w:val="single" w:sz="2" w:space="0" w:color="000000"/>
              <w:bottom w:val="single" w:sz="2" w:space="0" w:color="000000"/>
              <w:right w:val="single" w:sz="2" w:space="0" w:color="000000"/>
            </w:tcBorders>
          </w:tcPr>
          <w:p w14:paraId="07D5CC8D" w14:textId="4BE02386"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SÂCÂŞENI</w:t>
            </w:r>
          </w:p>
        </w:tc>
        <w:tc>
          <w:tcPr>
            <w:tcW w:w="2555" w:type="dxa"/>
            <w:tcBorders>
              <w:top w:val="single" w:sz="2" w:space="0" w:color="000000"/>
              <w:left w:val="single" w:sz="2" w:space="0" w:color="000000"/>
              <w:bottom w:val="single" w:sz="2" w:space="0" w:color="000000"/>
              <w:right w:val="single" w:sz="2" w:space="0" w:color="000000"/>
            </w:tcBorders>
          </w:tcPr>
          <w:p w14:paraId="3014E071" w14:textId="70BF9E2C"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1.500</w:t>
            </w:r>
          </w:p>
        </w:tc>
        <w:tc>
          <w:tcPr>
            <w:tcW w:w="2121" w:type="dxa"/>
            <w:tcBorders>
              <w:top w:val="single" w:sz="2" w:space="0" w:color="000000"/>
              <w:left w:val="single" w:sz="2" w:space="0" w:color="000000"/>
              <w:bottom w:val="single" w:sz="2" w:space="0" w:color="000000"/>
              <w:right w:val="single" w:sz="2" w:space="0" w:color="000000"/>
            </w:tcBorders>
          </w:tcPr>
          <w:p w14:paraId="2BF310C4" w14:textId="0223FDAB"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4.500</w:t>
            </w:r>
          </w:p>
        </w:tc>
        <w:tc>
          <w:tcPr>
            <w:tcW w:w="2122" w:type="dxa"/>
            <w:tcBorders>
              <w:top w:val="single" w:sz="2" w:space="0" w:color="000000"/>
              <w:left w:val="single" w:sz="2" w:space="0" w:color="000000"/>
              <w:bottom w:val="single" w:sz="2" w:space="0" w:color="000000"/>
              <w:right w:val="single" w:sz="2" w:space="0" w:color="000000"/>
            </w:tcBorders>
          </w:tcPr>
          <w:p w14:paraId="26D6EE25" w14:textId="39C72A04"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300%</w:t>
            </w:r>
          </w:p>
        </w:tc>
      </w:tr>
      <w:tr w:rsidR="00456D6E" w:rsidRPr="00456D6E" w14:paraId="6AE2D0E9"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67CE46C3" w14:textId="28A3AB55"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33</w:t>
            </w:r>
          </w:p>
        </w:tc>
        <w:tc>
          <w:tcPr>
            <w:tcW w:w="2552" w:type="dxa"/>
            <w:tcBorders>
              <w:top w:val="single" w:sz="2" w:space="0" w:color="000000"/>
              <w:left w:val="single" w:sz="2" w:space="0" w:color="000000"/>
              <w:bottom w:val="single" w:sz="2" w:space="0" w:color="000000"/>
              <w:right w:val="single" w:sz="2" w:space="0" w:color="000000"/>
            </w:tcBorders>
          </w:tcPr>
          <w:p w14:paraId="6F7D8805" w14:textId="29F0981F"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TURT</w:t>
            </w:r>
          </w:p>
        </w:tc>
        <w:tc>
          <w:tcPr>
            <w:tcW w:w="2555" w:type="dxa"/>
            <w:tcBorders>
              <w:top w:val="single" w:sz="2" w:space="0" w:color="000000"/>
              <w:left w:val="single" w:sz="2" w:space="0" w:color="000000"/>
              <w:bottom w:val="single" w:sz="2" w:space="0" w:color="000000"/>
              <w:right w:val="single" w:sz="2" w:space="0" w:color="000000"/>
            </w:tcBorders>
          </w:tcPr>
          <w:p w14:paraId="3DD81836" w14:textId="0E08B89A"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5.000</w:t>
            </w:r>
          </w:p>
        </w:tc>
        <w:tc>
          <w:tcPr>
            <w:tcW w:w="2121" w:type="dxa"/>
            <w:tcBorders>
              <w:top w:val="single" w:sz="2" w:space="0" w:color="000000"/>
              <w:left w:val="single" w:sz="2" w:space="0" w:color="000000"/>
              <w:bottom w:val="single" w:sz="2" w:space="0" w:color="000000"/>
              <w:right w:val="single" w:sz="2" w:space="0" w:color="000000"/>
            </w:tcBorders>
          </w:tcPr>
          <w:p w14:paraId="262594C7" w14:textId="7F9EAF87"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13.000</w:t>
            </w:r>
          </w:p>
        </w:tc>
        <w:tc>
          <w:tcPr>
            <w:tcW w:w="2122" w:type="dxa"/>
            <w:tcBorders>
              <w:top w:val="single" w:sz="2" w:space="0" w:color="000000"/>
              <w:left w:val="single" w:sz="2" w:space="0" w:color="000000"/>
              <w:bottom w:val="single" w:sz="2" w:space="0" w:color="000000"/>
              <w:right w:val="single" w:sz="2" w:space="0" w:color="000000"/>
            </w:tcBorders>
          </w:tcPr>
          <w:p w14:paraId="0AC962E0" w14:textId="05C0C81B"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260%</w:t>
            </w:r>
          </w:p>
        </w:tc>
      </w:tr>
      <w:tr w:rsidR="00456D6E" w:rsidRPr="00456D6E" w14:paraId="033A4ECF"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1A757AED" w14:textId="4FC9633D"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34</w:t>
            </w:r>
          </w:p>
        </w:tc>
        <w:tc>
          <w:tcPr>
            <w:tcW w:w="2552" w:type="dxa"/>
            <w:tcBorders>
              <w:top w:val="single" w:sz="2" w:space="0" w:color="000000"/>
              <w:left w:val="single" w:sz="2" w:space="0" w:color="000000"/>
              <w:bottom w:val="single" w:sz="2" w:space="0" w:color="000000"/>
              <w:right w:val="single" w:sz="2" w:space="0" w:color="000000"/>
            </w:tcBorders>
          </w:tcPr>
          <w:p w14:paraId="27F98860" w14:textId="7BF0F42C"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TIREAM</w:t>
            </w:r>
          </w:p>
        </w:tc>
        <w:tc>
          <w:tcPr>
            <w:tcW w:w="2555" w:type="dxa"/>
            <w:tcBorders>
              <w:top w:val="single" w:sz="2" w:space="0" w:color="000000"/>
              <w:left w:val="single" w:sz="2" w:space="0" w:color="000000"/>
              <w:bottom w:val="single" w:sz="2" w:space="0" w:color="000000"/>
              <w:right w:val="single" w:sz="2" w:space="0" w:color="000000"/>
            </w:tcBorders>
          </w:tcPr>
          <w:p w14:paraId="2AF1A025" w14:textId="65D43418"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1.500</w:t>
            </w:r>
          </w:p>
        </w:tc>
        <w:tc>
          <w:tcPr>
            <w:tcW w:w="2121" w:type="dxa"/>
            <w:tcBorders>
              <w:top w:val="single" w:sz="2" w:space="0" w:color="000000"/>
              <w:left w:val="single" w:sz="2" w:space="0" w:color="000000"/>
              <w:bottom w:val="single" w:sz="2" w:space="0" w:color="000000"/>
              <w:right w:val="single" w:sz="2" w:space="0" w:color="000000"/>
            </w:tcBorders>
          </w:tcPr>
          <w:p w14:paraId="12997A0B" w14:textId="18DF5D27"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2.500</w:t>
            </w:r>
          </w:p>
        </w:tc>
        <w:tc>
          <w:tcPr>
            <w:tcW w:w="2122" w:type="dxa"/>
            <w:tcBorders>
              <w:top w:val="single" w:sz="2" w:space="0" w:color="000000"/>
              <w:left w:val="single" w:sz="2" w:space="0" w:color="000000"/>
              <w:bottom w:val="single" w:sz="2" w:space="0" w:color="000000"/>
              <w:right w:val="single" w:sz="2" w:space="0" w:color="000000"/>
            </w:tcBorders>
          </w:tcPr>
          <w:p w14:paraId="24EBC03B" w14:textId="4C05723D"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167%</w:t>
            </w:r>
          </w:p>
        </w:tc>
      </w:tr>
      <w:tr w:rsidR="00456D6E" w:rsidRPr="00456D6E" w14:paraId="6529DF47"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6EEE1797" w14:textId="07FC7C89"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35</w:t>
            </w:r>
          </w:p>
        </w:tc>
        <w:tc>
          <w:tcPr>
            <w:tcW w:w="2552" w:type="dxa"/>
            <w:tcBorders>
              <w:top w:val="single" w:sz="2" w:space="0" w:color="000000"/>
              <w:left w:val="single" w:sz="2" w:space="0" w:color="000000"/>
              <w:bottom w:val="single" w:sz="2" w:space="0" w:color="000000"/>
              <w:right w:val="single" w:sz="2" w:space="0" w:color="000000"/>
            </w:tcBorders>
          </w:tcPr>
          <w:p w14:paraId="3F0BE522" w14:textId="7C42363C"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MEDIEŞU AURIT</w:t>
            </w:r>
          </w:p>
        </w:tc>
        <w:tc>
          <w:tcPr>
            <w:tcW w:w="2555" w:type="dxa"/>
            <w:tcBorders>
              <w:top w:val="single" w:sz="2" w:space="0" w:color="000000"/>
              <w:left w:val="single" w:sz="2" w:space="0" w:color="000000"/>
              <w:bottom w:val="single" w:sz="2" w:space="0" w:color="000000"/>
              <w:right w:val="single" w:sz="2" w:space="0" w:color="000000"/>
            </w:tcBorders>
          </w:tcPr>
          <w:p w14:paraId="46621BB3" w14:textId="13278AEB"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2.000</w:t>
            </w:r>
          </w:p>
        </w:tc>
        <w:tc>
          <w:tcPr>
            <w:tcW w:w="2121" w:type="dxa"/>
            <w:tcBorders>
              <w:top w:val="single" w:sz="2" w:space="0" w:color="000000"/>
              <w:left w:val="single" w:sz="2" w:space="0" w:color="000000"/>
              <w:bottom w:val="single" w:sz="2" w:space="0" w:color="000000"/>
              <w:right w:val="single" w:sz="2" w:space="0" w:color="000000"/>
            </w:tcBorders>
          </w:tcPr>
          <w:p w14:paraId="3CCD6D68" w14:textId="6F091B3B"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6.000</w:t>
            </w:r>
          </w:p>
        </w:tc>
        <w:tc>
          <w:tcPr>
            <w:tcW w:w="2122" w:type="dxa"/>
            <w:tcBorders>
              <w:top w:val="single" w:sz="2" w:space="0" w:color="000000"/>
              <w:left w:val="single" w:sz="2" w:space="0" w:color="000000"/>
              <w:bottom w:val="single" w:sz="2" w:space="0" w:color="000000"/>
              <w:right w:val="single" w:sz="2" w:space="0" w:color="000000"/>
            </w:tcBorders>
          </w:tcPr>
          <w:p w14:paraId="2FEAFE48" w14:textId="4B6699AC"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300%</w:t>
            </w:r>
          </w:p>
        </w:tc>
      </w:tr>
      <w:tr w:rsidR="00456D6E" w:rsidRPr="00456D6E" w14:paraId="1FEDBC10"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12679FCE" w14:textId="3A224369"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36</w:t>
            </w:r>
          </w:p>
        </w:tc>
        <w:tc>
          <w:tcPr>
            <w:tcW w:w="2552" w:type="dxa"/>
            <w:tcBorders>
              <w:top w:val="single" w:sz="2" w:space="0" w:color="000000"/>
              <w:left w:val="single" w:sz="2" w:space="0" w:color="000000"/>
              <w:bottom w:val="single" w:sz="2" w:space="0" w:color="000000"/>
              <w:right w:val="single" w:sz="2" w:space="0" w:color="000000"/>
            </w:tcBorders>
          </w:tcPr>
          <w:p w14:paraId="2C6A62BA" w14:textId="4F80EA83"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VALEA VINULUI</w:t>
            </w:r>
          </w:p>
        </w:tc>
        <w:tc>
          <w:tcPr>
            <w:tcW w:w="2555" w:type="dxa"/>
            <w:tcBorders>
              <w:top w:val="single" w:sz="2" w:space="0" w:color="000000"/>
              <w:left w:val="single" w:sz="2" w:space="0" w:color="000000"/>
              <w:bottom w:val="single" w:sz="2" w:space="0" w:color="000000"/>
              <w:right w:val="single" w:sz="2" w:space="0" w:color="000000"/>
            </w:tcBorders>
          </w:tcPr>
          <w:p w14:paraId="085A3897" w14:textId="1FB1757D"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1" w:type="dxa"/>
            <w:tcBorders>
              <w:top w:val="single" w:sz="2" w:space="0" w:color="000000"/>
              <w:left w:val="single" w:sz="2" w:space="0" w:color="000000"/>
              <w:bottom w:val="single" w:sz="2" w:space="0" w:color="000000"/>
              <w:right w:val="single" w:sz="2" w:space="0" w:color="000000"/>
            </w:tcBorders>
          </w:tcPr>
          <w:p w14:paraId="0839A31E" w14:textId="75F50457"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3.500</w:t>
            </w:r>
          </w:p>
        </w:tc>
        <w:tc>
          <w:tcPr>
            <w:tcW w:w="2122" w:type="dxa"/>
            <w:tcBorders>
              <w:top w:val="single" w:sz="2" w:space="0" w:color="000000"/>
              <w:left w:val="single" w:sz="2" w:space="0" w:color="000000"/>
              <w:bottom w:val="single" w:sz="2" w:space="0" w:color="000000"/>
              <w:right w:val="single" w:sz="2" w:space="0" w:color="000000"/>
            </w:tcBorders>
          </w:tcPr>
          <w:p w14:paraId="26337A76" w14:textId="53B465D4"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350%</w:t>
            </w:r>
          </w:p>
        </w:tc>
      </w:tr>
      <w:tr w:rsidR="00456D6E" w:rsidRPr="00456D6E" w14:paraId="43A274D3"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7E547851" w14:textId="4AB36954"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37</w:t>
            </w:r>
          </w:p>
        </w:tc>
        <w:tc>
          <w:tcPr>
            <w:tcW w:w="2552" w:type="dxa"/>
            <w:tcBorders>
              <w:top w:val="single" w:sz="2" w:space="0" w:color="000000"/>
              <w:left w:val="single" w:sz="2" w:space="0" w:color="000000"/>
              <w:bottom w:val="single" w:sz="2" w:space="0" w:color="000000"/>
              <w:right w:val="single" w:sz="2" w:space="0" w:color="000000"/>
            </w:tcBorders>
          </w:tcPr>
          <w:p w14:paraId="0998B8B6" w14:textId="5FDCAA42"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BÂTARCI</w:t>
            </w:r>
          </w:p>
        </w:tc>
        <w:tc>
          <w:tcPr>
            <w:tcW w:w="2555" w:type="dxa"/>
            <w:tcBorders>
              <w:top w:val="single" w:sz="2" w:space="0" w:color="000000"/>
              <w:left w:val="single" w:sz="2" w:space="0" w:color="000000"/>
              <w:bottom w:val="single" w:sz="2" w:space="0" w:color="000000"/>
              <w:right w:val="single" w:sz="2" w:space="0" w:color="000000"/>
            </w:tcBorders>
          </w:tcPr>
          <w:p w14:paraId="42F2C634" w14:textId="2F7C91A6"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1" w:type="dxa"/>
            <w:tcBorders>
              <w:top w:val="single" w:sz="2" w:space="0" w:color="000000"/>
              <w:left w:val="single" w:sz="2" w:space="0" w:color="000000"/>
              <w:bottom w:val="single" w:sz="2" w:space="0" w:color="000000"/>
              <w:right w:val="single" w:sz="2" w:space="0" w:color="000000"/>
            </w:tcBorders>
          </w:tcPr>
          <w:p w14:paraId="76AA998C" w14:textId="58EC67D1"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5.000</w:t>
            </w:r>
          </w:p>
        </w:tc>
        <w:tc>
          <w:tcPr>
            <w:tcW w:w="2122" w:type="dxa"/>
            <w:tcBorders>
              <w:top w:val="single" w:sz="2" w:space="0" w:color="000000"/>
              <w:left w:val="single" w:sz="2" w:space="0" w:color="000000"/>
              <w:bottom w:val="single" w:sz="2" w:space="0" w:color="000000"/>
              <w:right w:val="single" w:sz="2" w:space="0" w:color="000000"/>
            </w:tcBorders>
          </w:tcPr>
          <w:p w14:paraId="09D175D7" w14:textId="0057A6F4"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500%</w:t>
            </w:r>
          </w:p>
        </w:tc>
      </w:tr>
      <w:tr w:rsidR="00456D6E" w:rsidRPr="00456D6E" w14:paraId="473F23A8"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4A689393" w14:textId="3DAC92F1"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38</w:t>
            </w:r>
          </w:p>
        </w:tc>
        <w:tc>
          <w:tcPr>
            <w:tcW w:w="2552" w:type="dxa"/>
            <w:tcBorders>
              <w:top w:val="single" w:sz="2" w:space="0" w:color="000000"/>
              <w:left w:val="single" w:sz="2" w:space="0" w:color="000000"/>
              <w:bottom w:val="single" w:sz="2" w:space="0" w:color="000000"/>
              <w:right w:val="single" w:sz="2" w:space="0" w:color="000000"/>
            </w:tcBorders>
          </w:tcPr>
          <w:p w14:paraId="28F24ED6" w14:textId="208DF927"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SANTÂU</w:t>
            </w:r>
          </w:p>
        </w:tc>
        <w:tc>
          <w:tcPr>
            <w:tcW w:w="2555" w:type="dxa"/>
            <w:tcBorders>
              <w:top w:val="single" w:sz="2" w:space="0" w:color="000000"/>
              <w:left w:val="single" w:sz="2" w:space="0" w:color="000000"/>
              <w:bottom w:val="single" w:sz="2" w:space="0" w:color="000000"/>
              <w:right w:val="single" w:sz="2" w:space="0" w:color="000000"/>
            </w:tcBorders>
          </w:tcPr>
          <w:p w14:paraId="72C738D0" w14:textId="019C079E"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1" w:type="dxa"/>
            <w:tcBorders>
              <w:top w:val="single" w:sz="2" w:space="0" w:color="000000"/>
              <w:left w:val="single" w:sz="2" w:space="0" w:color="000000"/>
              <w:bottom w:val="single" w:sz="2" w:space="0" w:color="000000"/>
              <w:right w:val="single" w:sz="2" w:space="0" w:color="000000"/>
            </w:tcBorders>
          </w:tcPr>
          <w:p w14:paraId="5FDB71EE" w14:textId="59DCDF96"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2" w:type="dxa"/>
            <w:tcBorders>
              <w:top w:val="single" w:sz="2" w:space="0" w:color="000000"/>
              <w:left w:val="single" w:sz="2" w:space="0" w:color="000000"/>
              <w:bottom w:val="single" w:sz="2" w:space="0" w:color="000000"/>
              <w:right w:val="single" w:sz="2" w:space="0" w:color="000000"/>
            </w:tcBorders>
          </w:tcPr>
          <w:p w14:paraId="00AEA6BC" w14:textId="097A5743"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w:t>
            </w:r>
          </w:p>
        </w:tc>
      </w:tr>
      <w:tr w:rsidR="00456D6E" w:rsidRPr="00456D6E" w14:paraId="143CC330"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5C47C80F" w14:textId="35725525"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39</w:t>
            </w:r>
          </w:p>
        </w:tc>
        <w:tc>
          <w:tcPr>
            <w:tcW w:w="2552" w:type="dxa"/>
            <w:tcBorders>
              <w:top w:val="single" w:sz="2" w:space="0" w:color="000000"/>
              <w:left w:val="single" w:sz="2" w:space="0" w:color="000000"/>
              <w:bottom w:val="single" w:sz="2" w:space="0" w:color="000000"/>
              <w:right w:val="single" w:sz="2" w:space="0" w:color="000000"/>
            </w:tcBorders>
          </w:tcPr>
          <w:p w14:paraId="48D2DF8F" w14:textId="7E3941EE"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TARNA MARE</w:t>
            </w:r>
          </w:p>
        </w:tc>
        <w:tc>
          <w:tcPr>
            <w:tcW w:w="2555" w:type="dxa"/>
            <w:tcBorders>
              <w:top w:val="single" w:sz="2" w:space="0" w:color="000000"/>
              <w:left w:val="single" w:sz="2" w:space="0" w:color="000000"/>
              <w:bottom w:val="single" w:sz="2" w:space="0" w:color="000000"/>
              <w:right w:val="single" w:sz="2" w:space="0" w:color="000000"/>
            </w:tcBorders>
          </w:tcPr>
          <w:p w14:paraId="5CD7514E" w14:textId="75A35153"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2.700</w:t>
            </w:r>
          </w:p>
        </w:tc>
        <w:tc>
          <w:tcPr>
            <w:tcW w:w="2121" w:type="dxa"/>
            <w:tcBorders>
              <w:top w:val="single" w:sz="2" w:space="0" w:color="000000"/>
              <w:left w:val="single" w:sz="2" w:space="0" w:color="000000"/>
              <w:bottom w:val="single" w:sz="2" w:space="0" w:color="000000"/>
              <w:right w:val="single" w:sz="2" w:space="0" w:color="000000"/>
            </w:tcBorders>
          </w:tcPr>
          <w:p w14:paraId="4B570DCE" w14:textId="1573E5C0"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6.500</w:t>
            </w:r>
          </w:p>
        </w:tc>
        <w:tc>
          <w:tcPr>
            <w:tcW w:w="2122" w:type="dxa"/>
            <w:tcBorders>
              <w:top w:val="single" w:sz="2" w:space="0" w:color="000000"/>
              <w:left w:val="single" w:sz="2" w:space="0" w:color="000000"/>
              <w:bottom w:val="single" w:sz="2" w:space="0" w:color="000000"/>
              <w:right w:val="single" w:sz="2" w:space="0" w:color="000000"/>
            </w:tcBorders>
          </w:tcPr>
          <w:p w14:paraId="65B963F6" w14:textId="1A41AF53"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241%</w:t>
            </w:r>
          </w:p>
        </w:tc>
      </w:tr>
      <w:tr w:rsidR="00456D6E" w:rsidRPr="00456D6E" w14:paraId="52D296DF"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7A18D4B6" w14:textId="64EFBBF2"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40</w:t>
            </w:r>
          </w:p>
        </w:tc>
        <w:tc>
          <w:tcPr>
            <w:tcW w:w="2552" w:type="dxa"/>
            <w:tcBorders>
              <w:top w:val="single" w:sz="2" w:space="0" w:color="000000"/>
              <w:left w:val="single" w:sz="2" w:space="0" w:color="000000"/>
              <w:bottom w:val="single" w:sz="2" w:space="0" w:color="000000"/>
              <w:right w:val="single" w:sz="2" w:space="0" w:color="000000"/>
            </w:tcBorders>
          </w:tcPr>
          <w:p w14:paraId="25A546E0" w14:textId="5C0A26FA"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SOCOND</w:t>
            </w:r>
          </w:p>
        </w:tc>
        <w:tc>
          <w:tcPr>
            <w:tcW w:w="2555" w:type="dxa"/>
            <w:tcBorders>
              <w:top w:val="single" w:sz="2" w:space="0" w:color="000000"/>
              <w:left w:val="single" w:sz="2" w:space="0" w:color="000000"/>
              <w:bottom w:val="single" w:sz="2" w:space="0" w:color="000000"/>
              <w:right w:val="single" w:sz="2" w:space="0" w:color="000000"/>
            </w:tcBorders>
          </w:tcPr>
          <w:p w14:paraId="509CC37C" w14:textId="0C862C86"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1" w:type="dxa"/>
            <w:tcBorders>
              <w:top w:val="single" w:sz="2" w:space="0" w:color="000000"/>
              <w:left w:val="single" w:sz="2" w:space="0" w:color="000000"/>
              <w:bottom w:val="single" w:sz="2" w:space="0" w:color="000000"/>
              <w:right w:val="single" w:sz="2" w:space="0" w:color="000000"/>
            </w:tcBorders>
          </w:tcPr>
          <w:p w14:paraId="29044A29" w14:textId="1266D325"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1.300</w:t>
            </w:r>
          </w:p>
        </w:tc>
        <w:tc>
          <w:tcPr>
            <w:tcW w:w="2122" w:type="dxa"/>
            <w:tcBorders>
              <w:top w:val="single" w:sz="2" w:space="0" w:color="000000"/>
              <w:left w:val="single" w:sz="2" w:space="0" w:color="000000"/>
              <w:bottom w:val="single" w:sz="2" w:space="0" w:color="000000"/>
              <w:right w:val="single" w:sz="2" w:space="0" w:color="000000"/>
            </w:tcBorders>
          </w:tcPr>
          <w:p w14:paraId="249DBFC4" w14:textId="0DBEEA57"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130%</w:t>
            </w:r>
          </w:p>
        </w:tc>
      </w:tr>
      <w:tr w:rsidR="00456D6E" w:rsidRPr="00456D6E" w14:paraId="0A4C6AAA"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73F2CC97" w14:textId="7030D269"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41</w:t>
            </w:r>
          </w:p>
        </w:tc>
        <w:tc>
          <w:tcPr>
            <w:tcW w:w="2552" w:type="dxa"/>
            <w:tcBorders>
              <w:top w:val="single" w:sz="2" w:space="0" w:color="000000"/>
              <w:left w:val="single" w:sz="2" w:space="0" w:color="000000"/>
              <w:bottom w:val="single" w:sz="2" w:space="0" w:color="000000"/>
              <w:right w:val="single" w:sz="2" w:space="0" w:color="000000"/>
            </w:tcBorders>
          </w:tcPr>
          <w:p w14:paraId="449FA60E" w14:textId="1C04F8F0"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BOGDAND</w:t>
            </w:r>
          </w:p>
        </w:tc>
        <w:tc>
          <w:tcPr>
            <w:tcW w:w="2555" w:type="dxa"/>
            <w:tcBorders>
              <w:top w:val="single" w:sz="2" w:space="0" w:color="000000"/>
              <w:left w:val="single" w:sz="2" w:space="0" w:color="000000"/>
              <w:bottom w:val="single" w:sz="2" w:space="0" w:color="000000"/>
              <w:right w:val="single" w:sz="2" w:space="0" w:color="000000"/>
            </w:tcBorders>
          </w:tcPr>
          <w:p w14:paraId="3BB241D3" w14:textId="05CECD28"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1" w:type="dxa"/>
            <w:tcBorders>
              <w:top w:val="single" w:sz="2" w:space="0" w:color="000000"/>
              <w:left w:val="single" w:sz="2" w:space="0" w:color="000000"/>
              <w:bottom w:val="single" w:sz="2" w:space="0" w:color="000000"/>
              <w:right w:val="single" w:sz="2" w:space="0" w:color="000000"/>
            </w:tcBorders>
          </w:tcPr>
          <w:p w14:paraId="40941438" w14:textId="69A13352"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2" w:type="dxa"/>
            <w:tcBorders>
              <w:top w:val="single" w:sz="2" w:space="0" w:color="000000"/>
              <w:left w:val="single" w:sz="2" w:space="0" w:color="000000"/>
              <w:bottom w:val="single" w:sz="2" w:space="0" w:color="000000"/>
              <w:right w:val="single" w:sz="2" w:space="0" w:color="000000"/>
            </w:tcBorders>
          </w:tcPr>
          <w:p w14:paraId="0BD876A6" w14:textId="683ACF0B"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w:t>
            </w:r>
          </w:p>
        </w:tc>
      </w:tr>
      <w:tr w:rsidR="00456D6E" w:rsidRPr="00456D6E" w14:paraId="19F1561B"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30A4C39E" w14:textId="3325B54F"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42</w:t>
            </w:r>
          </w:p>
        </w:tc>
        <w:tc>
          <w:tcPr>
            <w:tcW w:w="2552" w:type="dxa"/>
            <w:tcBorders>
              <w:top w:val="single" w:sz="2" w:space="0" w:color="000000"/>
              <w:left w:val="single" w:sz="2" w:space="0" w:color="000000"/>
              <w:bottom w:val="single" w:sz="2" w:space="0" w:color="000000"/>
              <w:right w:val="single" w:sz="2" w:space="0" w:color="000000"/>
            </w:tcBorders>
          </w:tcPr>
          <w:p w14:paraId="3BF13F4B" w14:textId="48A96925"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PORUMBEŞTI</w:t>
            </w:r>
          </w:p>
        </w:tc>
        <w:tc>
          <w:tcPr>
            <w:tcW w:w="2555" w:type="dxa"/>
            <w:tcBorders>
              <w:top w:val="single" w:sz="2" w:space="0" w:color="000000"/>
              <w:left w:val="single" w:sz="2" w:space="0" w:color="000000"/>
              <w:bottom w:val="single" w:sz="2" w:space="0" w:color="000000"/>
              <w:right w:val="single" w:sz="2" w:space="0" w:color="000000"/>
            </w:tcBorders>
          </w:tcPr>
          <w:p w14:paraId="3115F13F" w14:textId="26339B4B"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1" w:type="dxa"/>
            <w:tcBorders>
              <w:top w:val="single" w:sz="2" w:space="0" w:color="000000"/>
              <w:left w:val="single" w:sz="2" w:space="0" w:color="000000"/>
              <w:bottom w:val="single" w:sz="2" w:space="0" w:color="000000"/>
              <w:right w:val="single" w:sz="2" w:space="0" w:color="000000"/>
            </w:tcBorders>
          </w:tcPr>
          <w:p w14:paraId="31D4BEED" w14:textId="24D94079"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2" w:type="dxa"/>
            <w:tcBorders>
              <w:top w:val="single" w:sz="2" w:space="0" w:color="000000"/>
              <w:left w:val="single" w:sz="2" w:space="0" w:color="000000"/>
              <w:bottom w:val="single" w:sz="2" w:space="0" w:color="000000"/>
              <w:right w:val="single" w:sz="2" w:space="0" w:color="000000"/>
            </w:tcBorders>
          </w:tcPr>
          <w:p w14:paraId="49AD570C" w14:textId="3D8B2C96"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w:t>
            </w:r>
          </w:p>
        </w:tc>
      </w:tr>
      <w:tr w:rsidR="00456D6E" w:rsidRPr="00456D6E" w14:paraId="60784151"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5A810F1E" w14:textId="1F3A4D09"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43</w:t>
            </w:r>
          </w:p>
        </w:tc>
        <w:tc>
          <w:tcPr>
            <w:tcW w:w="2552" w:type="dxa"/>
            <w:tcBorders>
              <w:top w:val="single" w:sz="2" w:space="0" w:color="000000"/>
              <w:left w:val="single" w:sz="2" w:space="0" w:color="000000"/>
              <w:bottom w:val="single" w:sz="2" w:space="0" w:color="000000"/>
              <w:right w:val="single" w:sz="2" w:space="0" w:color="000000"/>
            </w:tcBorders>
          </w:tcPr>
          <w:p w14:paraId="242DCC6A" w14:textId="1AAA243E"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BÂRSÂU</w:t>
            </w:r>
          </w:p>
        </w:tc>
        <w:tc>
          <w:tcPr>
            <w:tcW w:w="2555" w:type="dxa"/>
            <w:tcBorders>
              <w:top w:val="single" w:sz="2" w:space="0" w:color="000000"/>
              <w:left w:val="single" w:sz="2" w:space="0" w:color="000000"/>
              <w:bottom w:val="single" w:sz="2" w:space="0" w:color="000000"/>
              <w:right w:val="single" w:sz="2" w:space="0" w:color="000000"/>
            </w:tcBorders>
          </w:tcPr>
          <w:p w14:paraId="0C07C22C" w14:textId="0C3D2D6D"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1" w:type="dxa"/>
            <w:tcBorders>
              <w:top w:val="single" w:sz="2" w:space="0" w:color="000000"/>
              <w:left w:val="single" w:sz="2" w:space="0" w:color="000000"/>
              <w:bottom w:val="single" w:sz="2" w:space="0" w:color="000000"/>
              <w:right w:val="single" w:sz="2" w:space="0" w:color="000000"/>
            </w:tcBorders>
          </w:tcPr>
          <w:p w14:paraId="20B0C649" w14:textId="22046C57"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2" w:type="dxa"/>
            <w:tcBorders>
              <w:top w:val="single" w:sz="2" w:space="0" w:color="000000"/>
              <w:left w:val="single" w:sz="2" w:space="0" w:color="000000"/>
              <w:bottom w:val="single" w:sz="2" w:space="0" w:color="000000"/>
              <w:right w:val="single" w:sz="2" w:space="0" w:color="000000"/>
            </w:tcBorders>
          </w:tcPr>
          <w:p w14:paraId="38B3B01E" w14:textId="1EBD12DC"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w:t>
            </w:r>
          </w:p>
        </w:tc>
      </w:tr>
      <w:tr w:rsidR="00456D6E" w:rsidRPr="00456D6E" w14:paraId="3F0D71B1"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006EB924" w14:textId="56893FD0"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44</w:t>
            </w:r>
          </w:p>
        </w:tc>
        <w:tc>
          <w:tcPr>
            <w:tcW w:w="2552" w:type="dxa"/>
            <w:tcBorders>
              <w:top w:val="single" w:sz="2" w:space="0" w:color="000000"/>
              <w:left w:val="single" w:sz="2" w:space="0" w:color="000000"/>
              <w:bottom w:val="single" w:sz="2" w:space="0" w:color="000000"/>
              <w:right w:val="single" w:sz="2" w:space="0" w:color="000000"/>
            </w:tcBorders>
          </w:tcPr>
          <w:p w14:paraId="32C13F18" w14:textId="6A61E9BF"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TÂRŞOLT</w:t>
            </w:r>
          </w:p>
        </w:tc>
        <w:tc>
          <w:tcPr>
            <w:tcW w:w="2555" w:type="dxa"/>
            <w:tcBorders>
              <w:top w:val="single" w:sz="2" w:space="0" w:color="000000"/>
              <w:left w:val="single" w:sz="2" w:space="0" w:color="000000"/>
              <w:bottom w:val="single" w:sz="2" w:space="0" w:color="000000"/>
              <w:right w:val="single" w:sz="2" w:space="0" w:color="000000"/>
            </w:tcBorders>
          </w:tcPr>
          <w:p w14:paraId="3A9E4B38" w14:textId="495146C3"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1" w:type="dxa"/>
            <w:tcBorders>
              <w:top w:val="single" w:sz="2" w:space="0" w:color="000000"/>
              <w:left w:val="single" w:sz="2" w:space="0" w:color="000000"/>
              <w:bottom w:val="single" w:sz="2" w:space="0" w:color="000000"/>
              <w:right w:val="single" w:sz="2" w:space="0" w:color="000000"/>
            </w:tcBorders>
          </w:tcPr>
          <w:p w14:paraId="65B87DF8" w14:textId="4E1482C7"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2" w:type="dxa"/>
            <w:tcBorders>
              <w:top w:val="single" w:sz="2" w:space="0" w:color="000000"/>
              <w:left w:val="single" w:sz="2" w:space="0" w:color="000000"/>
              <w:bottom w:val="single" w:sz="2" w:space="0" w:color="000000"/>
              <w:right w:val="single" w:sz="2" w:space="0" w:color="000000"/>
            </w:tcBorders>
          </w:tcPr>
          <w:p w14:paraId="71C57459" w14:textId="03E9E144"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w:t>
            </w:r>
          </w:p>
        </w:tc>
      </w:tr>
      <w:tr w:rsidR="00456D6E" w:rsidRPr="00456D6E" w14:paraId="6829DC9B"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01CF7AC8" w14:textId="3E73A06E"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45</w:t>
            </w:r>
          </w:p>
        </w:tc>
        <w:tc>
          <w:tcPr>
            <w:tcW w:w="2552" w:type="dxa"/>
            <w:tcBorders>
              <w:top w:val="single" w:sz="2" w:space="0" w:color="000000"/>
              <w:left w:val="single" w:sz="2" w:space="0" w:color="000000"/>
              <w:bottom w:val="single" w:sz="2" w:space="0" w:color="000000"/>
              <w:right w:val="single" w:sz="2" w:space="0" w:color="000000"/>
            </w:tcBorders>
          </w:tcPr>
          <w:p w14:paraId="0FA5F837" w14:textId="74DE74AC"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CÂMÂRZANA</w:t>
            </w:r>
          </w:p>
        </w:tc>
        <w:tc>
          <w:tcPr>
            <w:tcW w:w="2555" w:type="dxa"/>
            <w:tcBorders>
              <w:top w:val="single" w:sz="2" w:space="0" w:color="000000"/>
              <w:left w:val="single" w:sz="2" w:space="0" w:color="000000"/>
              <w:bottom w:val="single" w:sz="2" w:space="0" w:color="000000"/>
              <w:right w:val="single" w:sz="2" w:space="0" w:color="000000"/>
            </w:tcBorders>
          </w:tcPr>
          <w:p w14:paraId="6D301A3D" w14:textId="152EED16"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1" w:type="dxa"/>
            <w:tcBorders>
              <w:top w:val="single" w:sz="2" w:space="0" w:color="000000"/>
              <w:left w:val="single" w:sz="2" w:space="0" w:color="000000"/>
              <w:bottom w:val="single" w:sz="2" w:space="0" w:color="000000"/>
              <w:right w:val="single" w:sz="2" w:space="0" w:color="000000"/>
            </w:tcBorders>
          </w:tcPr>
          <w:p w14:paraId="696B9935" w14:textId="444A2F8C"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2" w:type="dxa"/>
            <w:tcBorders>
              <w:top w:val="single" w:sz="2" w:space="0" w:color="000000"/>
              <w:left w:val="single" w:sz="2" w:space="0" w:color="000000"/>
              <w:bottom w:val="single" w:sz="2" w:space="0" w:color="000000"/>
              <w:right w:val="single" w:sz="2" w:space="0" w:color="000000"/>
            </w:tcBorders>
          </w:tcPr>
          <w:p w14:paraId="5FE17A9E" w14:textId="6D0EDD6E"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w:t>
            </w:r>
          </w:p>
        </w:tc>
      </w:tr>
      <w:tr w:rsidR="00456D6E" w:rsidRPr="00456D6E" w14:paraId="73C19626"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29012504" w14:textId="6E51C16A"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46</w:t>
            </w:r>
          </w:p>
        </w:tc>
        <w:tc>
          <w:tcPr>
            <w:tcW w:w="2552" w:type="dxa"/>
            <w:tcBorders>
              <w:top w:val="single" w:sz="2" w:space="0" w:color="000000"/>
              <w:left w:val="single" w:sz="2" w:space="0" w:color="000000"/>
              <w:bottom w:val="single" w:sz="2" w:space="0" w:color="000000"/>
              <w:right w:val="single" w:sz="2" w:space="0" w:color="000000"/>
            </w:tcBorders>
          </w:tcPr>
          <w:p w14:paraId="2BF5C3DA" w14:textId="5175F478"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CEHAL</w:t>
            </w:r>
          </w:p>
        </w:tc>
        <w:tc>
          <w:tcPr>
            <w:tcW w:w="2555" w:type="dxa"/>
            <w:tcBorders>
              <w:top w:val="single" w:sz="2" w:space="0" w:color="000000"/>
              <w:left w:val="single" w:sz="2" w:space="0" w:color="000000"/>
              <w:bottom w:val="single" w:sz="2" w:space="0" w:color="000000"/>
              <w:right w:val="single" w:sz="2" w:space="0" w:color="000000"/>
            </w:tcBorders>
          </w:tcPr>
          <w:p w14:paraId="0E673AEB" w14:textId="35308E44"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1" w:type="dxa"/>
            <w:tcBorders>
              <w:top w:val="single" w:sz="2" w:space="0" w:color="000000"/>
              <w:left w:val="single" w:sz="2" w:space="0" w:color="000000"/>
              <w:bottom w:val="single" w:sz="2" w:space="0" w:color="000000"/>
              <w:right w:val="single" w:sz="2" w:space="0" w:color="000000"/>
            </w:tcBorders>
          </w:tcPr>
          <w:p w14:paraId="294C101B" w14:textId="22CE850C"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2" w:type="dxa"/>
            <w:tcBorders>
              <w:top w:val="single" w:sz="2" w:space="0" w:color="000000"/>
              <w:left w:val="single" w:sz="2" w:space="0" w:color="000000"/>
              <w:bottom w:val="single" w:sz="2" w:space="0" w:color="000000"/>
              <w:right w:val="single" w:sz="2" w:space="0" w:color="000000"/>
            </w:tcBorders>
          </w:tcPr>
          <w:p w14:paraId="6612A144" w14:textId="67D2D5A1"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w:t>
            </w:r>
          </w:p>
        </w:tc>
      </w:tr>
      <w:tr w:rsidR="00456D6E" w:rsidRPr="00456D6E" w14:paraId="2E806A4F"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64AA37F3" w14:textId="158A1BC2"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47</w:t>
            </w:r>
          </w:p>
        </w:tc>
        <w:tc>
          <w:tcPr>
            <w:tcW w:w="2552" w:type="dxa"/>
            <w:tcBorders>
              <w:top w:val="single" w:sz="2" w:space="0" w:color="000000"/>
              <w:left w:val="single" w:sz="2" w:space="0" w:color="000000"/>
              <w:bottom w:val="single" w:sz="2" w:space="0" w:color="000000"/>
              <w:right w:val="single" w:sz="2" w:space="0" w:color="000000"/>
            </w:tcBorders>
          </w:tcPr>
          <w:p w14:paraId="713140C3" w14:textId="6E579387"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AGRlş</w:t>
            </w:r>
          </w:p>
        </w:tc>
        <w:tc>
          <w:tcPr>
            <w:tcW w:w="2555" w:type="dxa"/>
            <w:tcBorders>
              <w:top w:val="single" w:sz="2" w:space="0" w:color="000000"/>
              <w:left w:val="single" w:sz="2" w:space="0" w:color="000000"/>
              <w:bottom w:val="single" w:sz="2" w:space="0" w:color="000000"/>
              <w:right w:val="single" w:sz="2" w:space="0" w:color="000000"/>
            </w:tcBorders>
          </w:tcPr>
          <w:p w14:paraId="098E70BB" w14:textId="30C388C5"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2.000</w:t>
            </w:r>
          </w:p>
        </w:tc>
        <w:tc>
          <w:tcPr>
            <w:tcW w:w="2121" w:type="dxa"/>
            <w:tcBorders>
              <w:top w:val="single" w:sz="2" w:space="0" w:color="000000"/>
              <w:left w:val="single" w:sz="2" w:space="0" w:color="000000"/>
              <w:bottom w:val="single" w:sz="2" w:space="0" w:color="000000"/>
              <w:right w:val="single" w:sz="2" w:space="0" w:color="000000"/>
            </w:tcBorders>
          </w:tcPr>
          <w:p w14:paraId="38875B06" w14:textId="5862C89A"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5.500</w:t>
            </w:r>
          </w:p>
        </w:tc>
        <w:tc>
          <w:tcPr>
            <w:tcW w:w="2122" w:type="dxa"/>
            <w:tcBorders>
              <w:top w:val="single" w:sz="2" w:space="0" w:color="000000"/>
              <w:left w:val="single" w:sz="2" w:space="0" w:color="000000"/>
              <w:bottom w:val="single" w:sz="2" w:space="0" w:color="000000"/>
              <w:right w:val="single" w:sz="2" w:space="0" w:color="000000"/>
            </w:tcBorders>
          </w:tcPr>
          <w:p w14:paraId="3BBBCBA6" w14:textId="60B6B062"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2750/0</w:t>
            </w:r>
          </w:p>
        </w:tc>
      </w:tr>
      <w:tr w:rsidR="00456D6E" w:rsidRPr="00456D6E" w14:paraId="566BC692"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0F7B2BB9" w14:textId="5B9983C8"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48</w:t>
            </w:r>
          </w:p>
        </w:tc>
        <w:tc>
          <w:tcPr>
            <w:tcW w:w="2552" w:type="dxa"/>
            <w:tcBorders>
              <w:top w:val="single" w:sz="2" w:space="0" w:color="000000"/>
              <w:left w:val="single" w:sz="2" w:space="0" w:color="000000"/>
              <w:bottom w:val="single" w:sz="2" w:space="0" w:color="000000"/>
              <w:right w:val="single" w:sz="2" w:space="0" w:color="000000"/>
            </w:tcBorders>
          </w:tcPr>
          <w:p w14:paraId="03491594" w14:textId="2B6163E1"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APA</w:t>
            </w:r>
          </w:p>
        </w:tc>
        <w:tc>
          <w:tcPr>
            <w:tcW w:w="2555" w:type="dxa"/>
            <w:tcBorders>
              <w:top w:val="single" w:sz="2" w:space="0" w:color="000000"/>
              <w:left w:val="single" w:sz="2" w:space="0" w:color="000000"/>
              <w:bottom w:val="single" w:sz="2" w:space="0" w:color="000000"/>
              <w:right w:val="single" w:sz="2" w:space="0" w:color="000000"/>
            </w:tcBorders>
          </w:tcPr>
          <w:p w14:paraId="25CD792D" w14:textId="52416882"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1" w:type="dxa"/>
            <w:tcBorders>
              <w:top w:val="single" w:sz="2" w:space="0" w:color="000000"/>
              <w:left w:val="single" w:sz="2" w:space="0" w:color="000000"/>
              <w:bottom w:val="single" w:sz="2" w:space="0" w:color="000000"/>
              <w:right w:val="single" w:sz="2" w:space="0" w:color="000000"/>
            </w:tcBorders>
          </w:tcPr>
          <w:p w14:paraId="56AE85D8" w14:textId="32531ECA"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4.500</w:t>
            </w:r>
          </w:p>
        </w:tc>
        <w:tc>
          <w:tcPr>
            <w:tcW w:w="2122" w:type="dxa"/>
            <w:tcBorders>
              <w:top w:val="single" w:sz="2" w:space="0" w:color="000000"/>
              <w:left w:val="single" w:sz="2" w:space="0" w:color="000000"/>
              <w:bottom w:val="single" w:sz="2" w:space="0" w:color="000000"/>
              <w:right w:val="single" w:sz="2" w:space="0" w:color="000000"/>
            </w:tcBorders>
          </w:tcPr>
          <w:p w14:paraId="00519FCA" w14:textId="39D103E0"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450%</w:t>
            </w:r>
          </w:p>
        </w:tc>
      </w:tr>
      <w:tr w:rsidR="00456D6E" w:rsidRPr="00456D6E" w14:paraId="477FFDBD"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7FADC619" w14:textId="228E6FB5"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49</w:t>
            </w:r>
          </w:p>
        </w:tc>
        <w:tc>
          <w:tcPr>
            <w:tcW w:w="2552" w:type="dxa"/>
            <w:tcBorders>
              <w:top w:val="single" w:sz="2" w:space="0" w:color="000000"/>
              <w:left w:val="single" w:sz="2" w:space="0" w:color="000000"/>
              <w:bottom w:val="single" w:sz="2" w:space="0" w:color="000000"/>
              <w:right w:val="single" w:sz="2" w:space="0" w:color="000000"/>
            </w:tcBorders>
          </w:tcPr>
          <w:p w14:paraId="4895AD5C" w14:textId="4D604998"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PETREŞTI</w:t>
            </w:r>
          </w:p>
        </w:tc>
        <w:tc>
          <w:tcPr>
            <w:tcW w:w="2555" w:type="dxa"/>
            <w:tcBorders>
              <w:top w:val="single" w:sz="2" w:space="0" w:color="000000"/>
              <w:left w:val="single" w:sz="2" w:space="0" w:color="000000"/>
              <w:bottom w:val="single" w:sz="2" w:space="0" w:color="000000"/>
              <w:right w:val="single" w:sz="2" w:space="0" w:color="000000"/>
            </w:tcBorders>
          </w:tcPr>
          <w:p w14:paraId="31287B10" w14:textId="6046E926" w:rsidR="0095515B" w:rsidRPr="00456D6E" w:rsidRDefault="00721EBF"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0</w:t>
            </w:r>
          </w:p>
        </w:tc>
        <w:tc>
          <w:tcPr>
            <w:tcW w:w="2121" w:type="dxa"/>
            <w:tcBorders>
              <w:top w:val="single" w:sz="2" w:space="0" w:color="000000"/>
              <w:left w:val="single" w:sz="2" w:space="0" w:color="000000"/>
              <w:bottom w:val="single" w:sz="2" w:space="0" w:color="000000"/>
              <w:right w:val="single" w:sz="2" w:space="0" w:color="000000"/>
            </w:tcBorders>
          </w:tcPr>
          <w:p w14:paraId="7905EA14" w14:textId="01F43A11"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2" w:type="dxa"/>
            <w:tcBorders>
              <w:top w:val="single" w:sz="2" w:space="0" w:color="000000"/>
              <w:left w:val="single" w:sz="2" w:space="0" w:color="000000"/>
              <w:bottom w:val="single" w:sz="2" w:space="0" w:color="000000"/>
              <w:right w:val="single" w:sz="2" w:space="0" w:color="000000"/>
            </w:tcBorders>
          </w:tcPr>
          <w:p w14:paraId="72F1F63A" w14:textId="11645C98"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Calibri" w:hAnsi="Times New Roman" w:cs="Times New Roman"/>
                <w:sz w:val="20"/>
                <w:szCs w:val="20"/>
              </w:rPr>
              <w:t>0%</w:t>
            </w:r>
          </w:p>
        </w:tc>
      </w:tr>
      <w:tr w:rsidR="00456D6E" w:rsidRPr="00456D6E" w14:paraId="20D06EBD"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14362071" w14:textId="5240F276"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50</w:t>
            </w:r>
          </w:p>
        </w:tc>
        <w:tc>
          <w:tcPr>
            <w:tcW w:w="2552" w:type="dxa"/>
            <w:tcBorders>
              <w:top w:val="single" w:sz="2" w:space="0" w:color="000000"/>
              <w:left w:val="single" w:sz="2" w:space="0" w:color="000000"/>
              <w:bottom w:val="single" w:sz="2" w:space="0" w:color="000000"/>
              <w:right w:val="single" w:sz="2" w:space="0" w:color="000000"/>
            </w:tcBorders>
          </w:tcPr>
          <w:p w14:paraId="7B874E49" w14:textId="67593310" w:rsidR="0095515B" w:rsidRPr="00456D6E" w:rsidRDefault="00721EBF"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CÂUAŞ</w:t>
            </w:r>
          </w:p>
        </w:tc>
        <w:tc>
          <w:tcPr>
            <w:tcW w:w="2555" w:type="dxa"/>
            <w:tcBorders>
              <w:top w:val="single" w:sz="2" w:space="0" w:color="000000"/>
              <w:left w:val="single" w:sz="2" w:space="0" w:color="000000"/>
              <w:bottom w:val="single" w:sz="2" w:space="0" w:color="000000"/>
              <w:right w:val="single" w:sz="2" w:space="0" w:color="000000"/>
            </w:tcBorders>
          </w:tcPr>
          <w:p w14:paraId="10D3526A" w14:textId="1B6B35BE" w:rsidR="0095515B" w:rsidRPr="00456D6E" w:rsidRDefault="00721EBF"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0</w:t>
            </w:r>
          </w:p>
        </w:tc>
        <w:tc>
          <w:tcPr>
            <w:tcW w:w="2121" w:type="dxa"/>
            <w:tcBorders>
              <w:top w:val="single" w:sz="2" w:space="0" w:color="000000"/>
              <w:left w:val="single" w:sz="2" w:space="0" w:color="000000"/>
              <w:bottom w:val="single" w:sz="2" w:space="0" w:color="000000"/>
              <w:right w:val="single" w:sz="2" w:space="0" w:color="000000"/>
            </w:tcBorders>
          </w:tcPr>
          <w:p w14:paraId="160D64C8" w14:textId="128A81C4"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2" w:type="dxa"/>
            <w:tcBorders>
              <w:top w:val="single" w:sz="2" w:space="0" w:color="000000"/>
              <w:left w:val="single" w:sz="2" w:space="0" w:color="000000"/>
              <w:bottom w:val="single" w:sz="2" w:space="0" w:color="000000"/>
              <w:right w:val="single" w:sz="2" w:space="0" w:color="000000"/>
            </w:tcBorders>
          </w:tcPr>
          <w:p w14:paraId="1AE00FF2" w14:textId="66A0F958"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Calibri" w:hAnsi="Times New Roman" w:cs="Times New Roman"/>
                <w:sz w:val="20"/>
                <w:szCs w:val="20"/>
              </w:rPr>
              <w:t>0%</w:t>
            </w:r>
          </w:p>
        </w:tc>
      </w:tr>
      <w:tr w:rsidR="00456D6E" w:rsidRPr="00456D6E" w14:paraId="129844EB"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7735087F" w14:textId="488A8733"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51</w:t>
            </w:r>
          </w:p>
        </w:tc>
        <w:tc>
          <w:tcPr>
            <w:tcW w:w="2552" w:type="dxa"/>
            <w:tcBorders>
              <w:top w:val="single" w:sz="2" w:space="0" w:color="000000"/>
              <w:left w:val="single" w:sz="2" w:space="0" w:color="000000"/>
              <w:bottom w:val="single" w:sz="2" w:space="0" w:color="000000"/>
              <w:right w:val="single" w:sz="2" w:space="0" w:color="000000"/>
            </w:tcBorders>
          </w:tcPr>
          <w:p w14:paraId="4893E70C" w14:textId="05718E64"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CERTEZE</w:t>
            </w:r>
          </w:p>
        </w:tc>
        <w:tc>
          <w:tcPr>
            <w:tcW w:w="2555" w:type="dxa"/>
            <w:tcBorders>
              <w:top w:val="single" w:sz="2" w:space="0" w:color="000000"/>
              <w:left w:val="single" w:sz="2" w:space="0" w:color="000000"/>
              <w:bottom w:val="single" w:sz="2" w:space="0" w:color="000000"/>
              <w:right w:val="single" w:sz="2" w:space="0" w:color="000000"/>
            </w:tcBorders>
          </w:tcPr>
          <w:p w14:paraId="6D139B63" w14:textId="7AF972D1" w:rsidR="0095515B" w:rsidRPr="00456D6E" w:rsidRDefault="00721EBF"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0</w:t>
            </w:r>
          </w:p>
        </w:tc>
        <w:tc>
          <w:tcPr>
            <w:tcW w:w="2121" w:type="dxa"/>
            <w:tcBorders>
              <w:top w:val="single" w:sz="2" w:space="0" w:color="000000"/>
              <w:left w:val="single" w:sz="2" w:space="0" w:color="000000"/>
              <w:bottom w:val="single" w:sz="2" w:space="0" w:color="000000"/>
              <w:right w:val="single" w:sz="2" w:space="0" w:color="000000"/>
            </w:tcBorders>
          </w:tcPr>
          <w:p w14:paraId="243D119D" w14:textId="70704427"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2" w:type="dxa"/>
            <w:tcBorders>
              <w:top w:val="single" w:sz="2" w:space="0" w:color="000000"/>
              <w:left w:val="single" w:sz="2" w:space="0" w:color="000000"/>
              <w:bottom w:val="single" w:sz="2" w:space="0" w:color="000000"/>
              <w:right w:val="single" w:sz="2" w:space="0" w:color="000000"/>
            </w:tcBorders>
          </w:tcPr>
          <w:p w14:paraId="55D97632" w14:textId="1DF3845B"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Calibri" w:hAnsi="Times New Roman" w:cs="Times New Roman"/>
                <w:sz w:val="20"/>
                <w:szCs w:val="20"/>
              </w:rPr>
              <w:t>0%</w:t>
            </w:r>
          </w:p>
        </w:tc>
      </w:tr>
      <w:tr w:rsidR="00456D6E" w:rsidRPr="00456D6E" w14:paraId="30377D15"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76989C4C" w14:textId="22295806"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52</w:t>
            </w:r>
          </w:p>
        </w:tc>
        <w:tc>
          <w:tcPr>
            <w:tcW w:w="2552" w:type="dxa"/>
            <w:tcBorders>
              <w:top w:val="single" w:sz="2" w:space="0" w:color="000000"/>
              <w:left w:val="single" w:sz="2" w:space="0" w:color="000000"/>
              <w:bottom w:val="single" w:sz="2" w:space="0" w:color="000000"/>
              <w:right w:val="single" w:sz="2" w:space="0" w:color="000000"/>
            </w:tcBorders>
          </w:tcPr>
          <w:p w14:paraId="57B100E6" w14:textId="2722A42A"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RACŞA</w:t>
            </w:r>
          </w:p>
        </w:tc>
        <w:tc>
          <w:tcPr>
            <w:tcW w:w="2555" w:type="dxa"/>
            <w:tcBorders>
              <w:top w:val="single" w:sz="2" w:space="0" w:color="000000"/>
              <w:left w:val="single" w:sz="2" w:space="0" w:color="000000"/>
              <w:bottom w:val="single" w:sz="2" w:space="0" w:color="000000"/>
              <w:right w:val="single" w:sz="2" w:space="0" w:color="000000"/>
            </w:tcBorders>
          </w:tcPr>
          <w:p w14:paraId="3C7C69F9" w14:textId="4EB6AFFD" w:rsidR="0095515B" w:rsidRPr="00456D6E" w:rsidRDefault="00721EBF"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0</w:t>
            </w:r>
          </w:p>
        </w:tc>
        <w:tc>
          <w:tcPr>
            <w:tcW w:w="2121" w:type="dxa"/>
            <w:tcBorders>
              <w:top w:val="single" w:sz="2" w:space="0" w:color="000000"/>
              <w:left w:val="single" w:sz="2" w:space="0" w:color="000000"/>
              <w:bottom w:val="single" w:sz="2" w:space="0" w:color="000000"/>
              <w:right w:val="single" w:sz="2" w:space="0" w:color="000000"/>
            </w:tcBorders>
          </w:tcPr>
          <w:p w14:paraId="0BFA36F3" w14:textId="7700ABC2"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2" w:type="dxa"/>
            <w:tcBorders>
              <w:top w:val="single" w:sz="2" w:space="0" w:color="000000"/>
              <w:left w:val="single" w:sz="2" w:space="0" w:color="000000"/>
              <w:bottom w:val="single" w:sz="2" w:space="0" w:color="000000"/>
              <w:right w:val="single" w:sz="2" w:space="0" w:color="000000"/>
            </w:tcBorders>
          </w:tcPr>
          <w:p w14:paraId="191AB251" w14:textId="6FCA1CC5"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Calibri" w:hAnsi="Times New Roman" w:cs="Times New Roman"/>
                <w:sz w:val="20"/>
                <w:szCs w:val="20"/>
              </w:rPr>
              <w:t>0%</w:t>
            </w:r>
          </w:p>
        </w:tc>
      </w:tr>
      <w:tr w:rsidR="00456D6E" w:rsidRPr="00456D6E" w14:paraId="00DB06EE"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5BC6562F" w14:textId="37BEB5F7" w:rsidR="0095515B" w:rsidRPr="00456D6E" w:rsidRDefault="0095515B"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53</w:t>
            </w:r>
          </w:p>
        </w:tc>
        <w:tc>
          <w:tcPr>
            <w:tcW w:w="2552" w:type="dxa"/>
            <w:tcBorders>
              <w:top w:val="single" w:sz="2" w:space="0" w:color="000000"/>
              <w:left w:val="single" w:sz="2" w:space="0" w:color="000000"/>
              <w:bottom w:val="single" w:sz="2" w:space="0" w:color="000000"/>
              <w:right w:val="single" w:sz="2" w:space="0" w:color="000000"/>
            </w:tcBorders>
          </w:tcPr>
          <w:p w14:paraId="62E534D2" w14:textId="2A579D13" w:rsidR="0095515B" w:rsidRPr="00456D6E" w:rsidRDefault="0095515B" w:rsidP="006B79C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CÂMİN</w:t>
            </w:r>
          </w:p>
        </w:tc>
        <w:tc>
          <w:tcPr>
            <w:tcW w:w="2555" w:type="dxa"/>
            <w:tcBorders>
              <w:top w:val="single" w:sz="2" w:space="0" w:color="000000"/>
              <w:left w:val="single" w:sz="2" w:space="0" w:color="000000"/>
              <w:bottom w:val="single" w:sz="2" w:space="0" w:color="000000"/>
              <w:right w:val="single" w:sz="2" w:space="0" w:color="000000"/>
            </w:tcBorders>
          </w:tcPr>
          <w:p w14:paraId="0E283DC6" w14:textId="518A64AF" w:rsidR="0095515B" w:rsidRPr="00456D6E" w:rsidRDefault="00721EBF"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0</w:t>
            </w:r>
          </w:p>
        </w:tc>
        <w:tc>
          <w:tcPr>
            <w:tcW w:w="2121" w:type="dxa"/>
            <w:tcBorders>
              <w:top w:val="single" w:sz="2" w:space="0" w:color="000000"/>
              <w:left w:val="single" w:sz="2" w:space="0" w:color="000000"/>
              <w:bottom w:val="single" w:sz="2" w:space="0" w:color="000000"/>
              <w:right w:val="single" w:sz="2" w:space="0" w:color="000000"/>
            </w:tcBorders>
          </w:tcPr>
          <w:p w14:paraId="38D69478" w14:textId="7E319B4B"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2" w:type="dxa"/>
            <w:tcBorders>
              <w:top w:val="single" w:sz="2" w:space="0" w:color="000000"/>
              <w:left w:val="single" w:sz="2" w:space="0" w:color="000000"/>
              <w:bottom w:val="single" w:sz="2" w:space="0" w:color="000000"/>
              <w:right w:val="single" w:sz="2" w:space="0" w:color="000000"/>
            </w:tcBorders>
          </w:tcPr>
          <w:p w14:paraId="1B0A9AA2" w14:textId="501F91B1" w:rsidR="0095515B" w:rsidRPr="00456D6E" w:rsidRDefault="0095515B"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Calibri" w:hAnsi="Times New Roman" w:cs="Times New Roman"/>
                <w:sz w:val="20"/>
                <w:szCs w:val="20"/>
              </w:rPr>
              <w:t>0%</w:t>
            </w:r>
          </w:p>
        </w:tc>
      </w:tr>
      <w:tr w:rsidR="00456D6E" w:rsidRPr="00456D6E" w14:paraId="028B1283"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6DA59646" w14:textId="6BF155AA" w:rsidR="00721EBF" w:rsidRPr="00456D6E" w:rsidRDefault="00721EBF" w:rsidP="00721EBF">
            <w:pPr>
              <w:spacing w:after="12" w:line="252" w:lineRule="auto"/>
              <w:ind w:right="14"/>
              <w:jc w:val="center"/>
              <w:rPr>
                <w:rFonts w:ascii="Times New Roman" w:eastAsia="Times New Roman" w:hAnsi="Times New Roman" w:cs="Times New Roman"/>
                <w:sz w:val="20"/>
                <w:szCs w:val="20"/>
              </w:rPr>
            </w:pPr>
            <w:r w:rsidRPr="00456D6E">
              <w:rPr>
                <w:rFonts w:ascii="Times New Roman" w:eastAsia="Calibri" w:hAnsi="Times New Roman" w:cs="Times New Roman"/>
                <w:sz w:val="20"/>
                <w:szCs w:val="20"/>
              </w:rPr>
              <w:t>54</w:t>
            </w:r>
          </w:p>
        </w:tc>
        <w:tc>
          <w:tcPr>
            <w:tcW w:w="2552" w:type="dxa"/>
            <w:tcBorders>
              <w:top w:val="single" w:sz="2" w:space="0" w:color="000000"/>
              <w:left w:val="single" w:sz="2" w:space="0" w:color="000000"/>
              <w:bottom w:val="single" w:sz="2" w:space="0" w:color="000000"/>
              <w:right w:val="single" w:sz="2" w:space="0" w:color="000000"/>
            </w:tcBorders>
          </w:tcPr>
          <w:p w14:paraId="0482F604" w14:textId="24705C3C" w:rsidR="00721EBF" w:rsidRPr="00456D6E" w:rsidRDefault="00721EBF" w:rsidP="006B79C9">
            <w:pPr>
              <w:spacing w:after="12" w:line="252" w:lineRule="auto"/>
              <w:ind w:right="14"/>
              <w:rPr>
                <w:rFonts w:ascii="Times New Roman" w:eastAsia="Times New Roman" w:hAnsi="Times New Roman" w:cs="Times New Roman"/>
                <w:sz w:val="20"/>
                <w:szCs w:val="20"/>
              </w:rPr>
            </w:pPr>
            <w:r w:rsidRPr="00456D6E">
              <w:rPr>
                <w:rFonts w:ascii="Times New Roman" w:eastAsia="Calibri" w:hAnsi="Times New Roman" w:cs="Times New Roman"/>
                <w:sz w:val="20"/>
                <w:szCs w:val="20"/>
              </w:rPr>
              <w:t>CJ SATU MARE</w:t>
            </w:r>
          </w:p>
        </w:tc>
        <w:tc>
          <w:tcPr>
            <w:tcW w:w="2555" w:type="dxa"/>
            <w:tcBorders>
              <w:top w:val="single" w:sz="2" w:space="0" w:color="000000"/>
              <w:left w:val="single" w:sz="2" w:space="0" w:color="000000"/>
              <w:bottom w:val="single" w:sz="2" w:space="0" w:color="000000"/>
              <w:right w:val="single" w:sz="2" w:space="0" w:color="000000"/>
            </w:tcBorders>
          </w:tcPr>
          <w:p w14:paraId="2F24BCC3" w14:textId="45457D5E" w:rsidR="00721EBF" w:rsidRPr="00456D6E" w:rsidRDefault="00721EBF"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0</w:t>
            </w:r>
          </w:p>
        </w:tc>
        <w:tc>
          <w:tcPr>
            <w:tcW w:w="2121" w:type="dxa"/>
            <w:tcBorders>
              <w:top w:val="single" w:sz="2" w:space="0" w:color="000000"/>
              <w:left w:val="single" w:sz="2" w:space="0" w:color="000000"/>
              <w:bottom w:val="single" w:sz="2" w:space="0" w:color="000000"/>
              <w:right w:val="single" w:sz="2" w:space="0" w:color="000000"/>
            </w:tcBorders>
          </w:tcPr>
          <w:p w14:paraId="2F6A5F5B" w14:textId="058F3ED8" w:rsidR="00721EBF" w:rsidRPr="00456D6E" w:rsidRDefault="00721EBF"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Calibri" w:hAnsi="Times New Roman" w:cs="Times New Roman"/>
                <w:sz w:val="20"/>
                <w:szCs w:val="20"/>
              </w:rPr>
              <w:t>1.000</w:t>
            </w:r>
          </w:p>
        </w:tc>
        <w:tc>
          <w:tcPr>
            <w:tcW w:w="2122" w:type="dxa"/>
            <w:tcBorders>
              <w:top w:val="single" w:sz="2" w:space="0" w:color="000000"/>
              <w:left w:val="single" w:sz="2" w:space="0" w:color="000000"/>
              <w:bottom w:val="single" w:sz="2" w:space="0" w:color="000000"/>
              <w:right w:val="single" w:sz="2" w:space="0" w:color="000000"/>
            </w:tcBorders>
          </w:tcPr>
          <w:p w14:paraId="1ED8E9B9" w14:textId="636A9E29" w:rsidR="00721EBF" w:rsidRPr="00456D6E" w:rsidRDefault="00721EBF" w:rsidP="000315A4">
            <w:pPr>
              <w:spacing w:after="12" w:line="252" w:lineRule="auto"/>
              <w:ind w:right="14"/>
              <w:jc w:val="right"/>
              <w:rPr>
                <w:rFonts w:ascii="Times New Roman" w:eastAsia="Times New Roman" w:hAnsi="Times New Roman" w:cs="Times New Roman"/>
                <w:sz w:val="20"/>
                <w:szCs w:val="20"/>
              </w:rPr>
            </w:pPr>
            <w:r w:rsidRPr="00456D6E">
              <w:rPr>
                <w:rFonts w:ascii="Times New Roman" w:eastAsia="Calibri" w:hAnsi="Times New Roman" w:cs="Times New Roman"/>
                <w:sz w:val="20"/>
                <w:szCs w:val="20"/>
              </w:rPr>
              <w:t>0%</w:t>
            </w:r>
          </w:p>
        </w:tc>
      </w:tr>
      <w:tr w:rsidR="00456D6E" w:rsidRPr="00456D6E" w14:paraId="4C1C4227" w14:textId="77777777" w:rsidTr="00721EBF">
        <w:tc>
          <w:tcPr>
            <w:tcW w:w="1257" w:type="dxa"/>
            <w:tcBorders>
              <w:top w:val="single" w:sz="2" w:space="0" w:color="000000"/>
              <w:left w:val="single" w:sz="2" w:space="0" w:color="000000"/>
              <w:bottom w:val="single" w:sz="2" w:space="0" w:color="000000"/>
              <w:right w:val="single" w:sz="2" w:space="0" w:color="000000"/>
            </w:tcBorders>
          </w:tcPr>
          <w:p w14:paraId="2C51D6D3" w14:textId="77777777" w:rsidR="00721EBF" w:rsidRPr="00456D6E" w:rsidRDefault="00721EBF" w:rsidP="00721EBF">
            <w:pPr>
              <w:spacing w:after="12" w:line="252" w:lineRule="auto"/>
              <w:ind w:right="14"/>
              <w:jc w:val="center"/>
              <w:rPr>
                <w:rFonts w:ascii="Times New Roman" w:eastAsia="Times New Roman" w:hAnsi="Times New Roman" w:cs="Times New Roman"/>
                <w:sz w:val="20"/>
                <w:szCs w:val="20"/>
              </w:rPr>
            </w:pPr>
          </w:p>
        </w:tc>
        <w:tc>
          <w:tcPr>
            <w:tcW w:w="2552" w:type="dxa"/>
            <w:tcBorders>
              <w:top w:val="single" w:sz="2" w:space="0" w:color="000000"/>
              <w:left w:val="single" w:sz="2" w:space="0" w:color="000000"/>
              <w:bottom w:val="single" w:sz="2" w:space="0" w:color="000000"/>
              <w:right w:val="single" w:sz="2" w:space="0" w:color="000000"/>
            </w:tcBorders>
          </w:tcPr>
          <w:p w14:paraId="5AAB2F13" w14:textId="0C4285DB" w:rsidR="00721EBF" w:rsidRPr="00456D6E" w:rsidRDefault="00721EBF" w:rsidP="00721EBF">
            <w:pPr>
              <w:spacing w:after="12" w:line="252" w:lineRule="auto"/>
              <w:ind w:right="14"/>
              <w:jc w:val="center"/>
              <w:rPr>
                <w:rFonts w:ascii="Times New Roman" w:eastAsia="Times New Roman" w:hAnsi="Times New Roman" w:cs="Times New Roman"/>
                <w:b/>
                <w:bCs/>
                <w:sz w:val="20"/>
                <w:szCs w:val="20"/>
              </w:rPr>
            </w:pPr>
            <w:r w:rsidRPr="00456D6E">
              <w:rPr>
                <w:rFonts w:ascii="Times New Roman" w:eastAsia="Calibri" w:hAnsi="Times New Roman" w:cs="Times New Roman"/>
                <w:b/>
                <w:bCs/>
                <w:sz w:val="20"/>
                <w:szCs w:val="20"/>
              </w:rPr>
              <w:t>TOTAL</w:t>
            </w:r>
          </w:p>
        </w:tc>
        <w:tc>
          <w:tcPr>
            <w:tcW w:w="2555" w:type="dxa"/>
            <w:tcBorders>
              <w:top w:val="single" w:sz="2" w:space="0" w:color="000000"/>
              <w:left w:val="single" w:sz="2" w:space="0" w:color="000000"/>
              <w:bottom w:val="single" w:sz="2" w:space="0" w:color="000000"/>
              <w:right w:val="single" w:sz="2" w:space="0" w:color="000000"/>
            </w:tcBorders>
          </w:tcPr>
          <w:p w14:paraId="7439D540" w14:textId="6F15D8CE" w:rsidR="00721EBF" w:rsidRPr="00456D6E" w:rsidRDefault="00721EBF" w:rsidP="000315A4">
            <w:pPr>
              <w:spacing w:after="12" w:line="252" w:lineRule="auto"/>
              <w:ind w:right="14"/>
              <w:jc w:val="right"/>
              <w:rPr>
                <w:rFonts w:ascii="Times New Roman" w:eastAsia="Times New Roman" w:hAnsi="Times New Roman" w:cs="Times New Roman"/>
                <w:b/>
                <w:bCs/>
                <w:sz w:val="20"/>
                <w:szCs w:val="20"/>
              </w:rPr>
            </w:pPr>
            <w:r w:rsidRPr="00456D6E">
              <w:rPr>
                <w:rFonts w:ascii="Times New Roman" w:eastAsia="Calibri" w:hAnsi="Times New Roman" w:cs="Times New Roman"/>
                <w:b/>
                <w:bCs/>
                <w:sz w:val="20"/>
                <w:szCs w:val="20"/>
              </w:rPr>
              <w:t>945.000</w:t>
            </w:r>
          </w:p>
        </w:tc>
        <w:tc>
          <w:tcPr>
            <w:tcW w:w="2121" w:type="dxa"/>
            <w:tcBorders>
              <w:top w:val="single" w:sz="2" w:space="0" w:color="000000"/>
              <w:left w:val="single" w:sz="2" w:space="0" w:color="000000"/>
              <w:bottom w:val="single" w:sz="2" w:space="0" w:color="000000"/>
              <w:right w:val="single" w:sz="2" w:space="0" w:color="000000"/>
            </w:tcBorders>
          </w:tcPr>
          <w:p w14:paraId="69B6E0EC" w14:textId="342B4428" w:rsidR="00721EBF" w:rsidRPr="00456D6E" w:rsidRDefault="00721EBF" w:rsidP="000315A4">
            <w:pPr>
              <w:spacing w:after="12" w:line="252" w:lineRule="auto"/>
              <w:ind w:right="14"/>
              <w:jc w:val="right"/>
              <w:rPr>
                <w:rFonts w:ascii="Times New Roman" w:eastAsia="Times New Roman" w:hAnsi="Times New Roman" w:cs="Times New Roman"/>
                <w:b/>
                <w:bCs/>
                <w:sz w:val="20"/>
                <w:szCs w:val="20"/>
              </w:rPr>
            </w:pPr>
            <w:r w:rsidRPr="00456D6E">
              <w:rPr>
                <w:rFonts w:ascii="Times New Roman" w:eastAsia="Calibri" w:hAnsi="Times New Roman" w:cs="Times New Roman"/>
                <w:b/>
                <w:bCs/>
                <w:sz w:val="20"/>
                <w:szCs w:val="20"/>
              </w:rPr>
              <w:t>2.190.800</w:t>
            </w:r>
          </w:p>
        </w:tc>
        <w:tc>
          <w:tcPr>
            <w:tcW w:w="2122" w:type="dxa"/>
            <w:tcBorders>
              <w:top w:val="single" w:sz="2" w:space="0" w:color="000000"/>
              <w:left w:val="single" w:sz="2" w:space="0" w:color="000000"/>
              <w:bottom w:val="single" w:sz="2" w:space="0" w:color="000000"/>
              <w:right w:val="single" w:sz="2" w:space="0" w:color="000000"/>
            </w:tcBorders>
          </w:tcPr>
          <w:p w14:paraId="27DFB47F" w14:textId="7AE28CF7" w:rsidR="00721EBF" w:rsidRPr="00456D6E" w:rsidRDefault="00721EBF" w:rsidP="000315A4">
            <w:pPr>
              <w:spacing w:after="12" w:line="252" w:lineRule="auto"/>
              <w:ind w:right="14"/>
              <w:jc w:val="right"/>
              <w:rPr>
                <w:rFonts w:ascii="Times New Roman" w:eastAsia="Times New Roman" w:hAnsi="Times New Roman" w:cs="Times New Roman"/>
                <w:b/>
                <w:bCs/>
                <w:sz w:val="20"/>
                <w:szCs w:val="20"/>
              </w:rPr>
            </w:pPr>
            <w:r w:rsidRPr="00456D6E">
              <w:rPr>
                <w:rFonts w:ascii="Times New Roman" w:eastAsia="Calibri" w:hAnsi="Times New Roman" w:cs="Times New Roman"/>
                <w:b/>
                <w:bCs/>
                <w:sz w:val="20"/>
                <w:szCs w:val="20"/>
              </w:rPr>
              <w:t>232%</w:t>
            </w:r>
          </w:p>
        </w:tc>
      </w:tr>
    </w:tbl>
    <w:p w14:paraId="0B325FAF" w14:textId="77777777" w:rsidR="007454AA" w:rsidRPr="00456D6E" w:rsidRDefault="007454AA" w:rsidP="009A0273">
      <w:pPr>
        <w:spacing w:after="0" w:line="248" w:lineRule="auto"/>
        <w:ind w:left="24" w:right="7" w:firstLine="682"/>
        <w:jc w:val="both"/>
        <w:rPr>
          <w:rFonts w:ascii="Times New Roman" w:eastAsia="Calibri" w:hAnsi="Times New Roman" w:cs="Times New Roman"/>
          <w:sz w:val="24"/>
          <w:szCs w:val="24"/>
        </w:rPr>
      </w:pPr>
    </w:p>
    <w:p w14:paraId="1DBDB481" w14:textId="134CFA7E" w:rsidR="0020706D" w:rsidRPr="00456D6E" w:rsidRDefault="0020706D" w:rsidP="009A0273">
      <w:pPr>
        <w:spacing w:after="0" w:line="248" w:lineRule="auto"/>
        <w:ind w:left="24" w:right="7" w:firstLine="682"/>
        <w:jc w:val="both"/>
        <w:rPr>
          <w:rFonts w:ascii="Times New Roman" w:eastAsia="Times New Roman" w:hAnsi="Times New Roman" w:cs="Times New Roman"/>
          <w:sz w:val="24"/>
          <w:szCs w:val="24"/>
        </w:rPr>
      </w:pPr>
      <w:r w:rsidRPr="00456D6E">
        <w:rPr>
          <w:rFonts w:ascii="Times New Roman" w:eastAsia="Calibri" w:hAnsi="Times New Roman" w:cs="Times New Roman"/>
          <w:sz w:val="24"/>
          <w:szCs w:val="24"/>
        </w:rPr>
        <w:t xml:space="preserve">Astfel, </w:t>
      </w:r>
      <w:proofErr w:type="spellStart"/>
      <w:r w:rsidRPr="00456D6E">
        <w:rPr>
          <w:rFonts w:ascii="Times New Roman" w:eastAsia="Calibri" w:hAnsi="Times New Roman" w:cs="Times New Roman"/>
          <w:sz w:val="24"/>
          <w:szCs w:val="24"/>
        </w:rPr>
        <w:t>Apaserv</w:t>
      </w:r>
      <w:proofErr w:type="spellEnd"/>
      <w:r w:rsidRPr="00456D6E">
        <w:rPr>
          <w:rFonts w:ascii="Times New Roman" w:eastAsia="Calibri" w:hAnsi="Times New Roman" w:cs="Times New Roman"/>
          <w:sz w:val="24"/>
          <w:szCs w:val="24"/>
        </w:rPr>
        <w:t xml:space="preserve"> Satu Mare propune creșterea redevenței cu 232%, de la 945.000 lei lunar la 2.190.800 lei lunar, care va rezulta într-un cost anual de 26.289.600 lei.</w:t>
      </w:r>
    </w:p>
    <w:p w14:paraId="6C3BA655" w14:textId="74BC0DE0" w:rsidR="0020706D" w:rsidRPr="00456D6E" w:rsidRDefault="0020706D" w:rsidP="007454AA">
      <w:pPr>
        <w:spacing w:after="0" w:line="240" w:lineRule="auto"/>
        <w:ind w:firstLine="682"/>
        <w:jc w:val="both"/>
        <w:rPr>
          <w:rFonts w:ascii="Times New Roman" w:eastAsia="Times New Roman" w:hAnsi="Times New Roman" w:cs="Times New Roman"/>
          <w:sz w:val="24"/>
          <w:szCs w:val="24"/>
        </w:rPr>
      </w:pPr>
      <w:r w:rsidRPr="00456D6E">
        <w:rPr>
          <w:rFonts w:ascii="Times New Roman" w:eastAsia="Calibri" w:hAnsi="Times New Roman" w:cs="Times New Roman"/>
          <w:sz w:val="24"/>
          <w:szCs w:val="24"/>
        </w:rPr>
        <w:lastRenderedPageBreak/>
        <w:t>Această creștere este necesară pentru a acoperi în primul rând serviciul datoriei constând în rate de capital, dobânzi, comisioane și alte costuri aferente împrumuturilor de cofinanțare ale proiectelor din fonduri nerambursabile ale Uniunii Europene. De importanță deosebită este și necesitatea acoperirii eventualelor cheltuieli neeligibile ce pot apărea pe parcursul implementării proiectelor de investiții majore, cum este cea aflată în derulare în valoare de</w:t>
      </w:r>
      <w:r w:rsidRPr="00456D6E">
        <w:rPr>
          <w:rFonts w:ascii="Times New Roman" w:eastAsia="Times New Roman" w:hAnsi="Times New Roman" w:cs="Times New Roman"/>
          <w:sz w:val="24"/>
          <w:szCs w:val="24"/>
        </w:rPr>
        <w:t xml:space="preserve"> </w:t>
      </w:r>
      <w:r w:rsidRPr="00456D6E">
        <w:rPr>
          <w:rFonts w:ascii="Times New Roman" w:eastAsia="Calibri" w:hAnsi="Times New Roman" w:cs="Times New Roman"/>
          <w:sz w:val="24"/>
          <w:szCs w:val="24"/>
        </w:rPr>
        <w:t>1.175.936.929 lei.</w:t>
      </w:r>
    </w:p>
    <w:p w14:paraId="5B37D906" w14:textId="77777777" w:rsidR="007454AA" w:rsidRPr="00456D6E" w:rsidRDefault="007454AA" w:rsidP="007454AA">
      <w:pPr>
        <w:spacing w:after="0" w:line="240" w:lineRule="auto"/>
        <w:ind w:firstLine="682"/>
        <w:jc w:val="both"/>
        <w:rPr>
          <w:rFonts w:ascii="Times New Roman" w:eastAsia="Times New Roman" w:hAnsi="Times New Roman" w:cs="Times New Roman"/>
          <w:sz w:val="24"/>
          <w:szCs w:val="24"/>
        </w:rPr>
      </w:pPr>
      <w:r w:rsidRPr="00456D6E">
        <w:rPr>
          <w:rFonts w:ascii="Times New Roman" w:eastAsia="Calibri" w:hAnsi="Times New Roman" w:cs="Times New Roman"/>
          <w:sz w:val="24"/>
          <w:szCs w:val="24"/>
        </w:rPr>
        <w:t>De asemenea</w:t>
      </w:r>
      <w:r w:rsidR="0020706D" w:rsidRPr="00456D6E">
        <w:rPr>
          <w:rFonts w:ascii="Times New Roman" w:eastAsia="Calibri" w:hAnsi="Times New Roman" w:cs="Times New Roman"/>
          <w:sz w:val="24"/>
          <w:szCs w:val="24"/>
        </w:rPr>
        <w:t xml:space="preserve"> este nevoie permanent, de investiții pentru întreținerea, reabilitarea și dezvoltarea activelor existente aflate în concesiune.</w:t>
      </w:r>
    </w:p>
    <w:p w14:paraId="1C53F811" w14:textId="108BB8A9" w:rsidR="0020706D" w:rsidRPr="00456D6E" w:rsidRDefault="0020706D" w:rsidP="007454AA">
      <w:pPr>
        <w:spacing w:after="0" w:line="240" w:lineRule="auto"/>
        <w:ind w:firstLine="682"/>
        <w:jc w:val="both"/>
        <w:rPr>
          <w:rFonts w:ascii="Times New Roman" w:eastAsia="Times New Roman" w:hAnsi="Times New Roman" w:cs="Times New Roman"/>
          <w:sz w:val="24"/>
          <w:szCs w:val="24"/>
        </w:rPr>
      </w:pPr>
      <w:r w:rsidRPr="00456D6E">
        <w:rPr>
          <w:rFonts w:ascii="Times New Roman" w:eastAsia="Calibri" w:hAnsi="Times New Roman" w:cs="Times New Roman"/>
          <w:sz w:val="24"/>
          <w:szCs w:val="24"/>
        </w:rPr>
        <w:t>În capitolul DISPOZIȚII SPECIALE - PARTEA COMUNĂ din Contractul de delegare, Anexa 3 Nivelul indicatorilor financiari si manageriali/ Indicatori manageriali/ Indicatori calculați considerând întreaga arie de operare, se propune modificarea țintelor de performanță, în baza hotărârii A.D.I. nr. 4/22.02.2023 privind aprobarea nivelului pierderilor de apă pentru operatorul</w:t>
      </w:r>
      <w:r w:rsidRPr="00456D6E">
        <w:rPr>
          <w:rFonts w:ascii="Times New Roman" w:eastAsia="Times New Roman" w:hAnsi="Times New Roman" w:cs="Times New Roman"/>
          <w:sz w:val="24"/>
          <w:szCs w:val="24"/>
        </w:rPr>
        <w:t xml:space="preserve"> </w:t>
      </w:r>
      <w:r w:rsidRPr="00456D6E">
        <w:rPr>
          <w:rFonts w:ascii="Times New Roman" w:eastAsia="Calibri" w:hAnsi="Times New Roman" w:cs="Times New Roman"/>
          <w:sz w:val="24"/>
          <w:szCs w:val="24"/>
        </w:rPr>
        <w:t>Apaserv Satu Mare S.A., și anume:</w:t>
      </w:r>
    </w:p>
    <w:p w14:paraId="6BB964DC" w14:textId="77777777" w:rsidR="005A3BC6" w:rsidRPr="00456D6E" w:rsidRDefault="005A3BC6" w:rsidP="007454AA">
      <w:pPr>
        <w:spacing w:after="0" w:line="240" w:lineRule="auto"/>
        <w:ind w:firstLine="4"/>
        <w:jc w:val="center"/>
        <w:rPr>
          <w:rFonts w:ascii="Times New Roman" w:eastAsia="Times New Roman" w:hAnsi="Times New Roman" w:cs="Times New Roman"/>
          <w:sz w:val="24"/>
          <w:szCs w:val="24"/>
        </w:rPr>
      </w:pPr>
    </w:p>
    <w:p w14:paraId="47960EF0" w14:textId="77777777" w:rsidR="0020706D" w:rsidRPr="00456D6E" w:rsidRDefault="0020706D" w:rsidP="0020706D">
      <w:pPr>
        <w:spacing w:after="0" w:line="248" w:lineRule="auto"/>
        <w:ind w:left="24" w:right="7" w:hanging="10"/>
        <w:jc w:val="both"/>
        <w:rPr>
          <w:rFonts w:ascii="Times New Roman" w:eastAsia="Times New Roman" w:hAnsi="Times New Roman" w:cs="Times New Roman"/>
          <w:sz w:val="24"/>
          <w:szCs w:val="24"/>
        </w:rPr>
      </w:pPr>
      <w:r w:rsidRPr="00456D6E">
        <w:rPr>
          <w:rFonts w:ascii="Times New Roman" w:eastAsia="Calibri" w:hAnsi="Times New Roman" w:cs="Times New Roman"/>
          <w:sz w:val="24"/>
          <w:szCs w:val="24"/>
        </w:rPr>
        <w:t>" 2. Apa Nefacturată (%)</w:t>
      </w:r>
    </w:p>
    <w:p w14:paraId="62C7F9C2" w14:textId="77777777" w:rsidR="0020706D" w:rsidRPr="00456D6E" w:rsidRDefault="0020706D" w:rsidP="0020706D">
      <w:pPr>
        <w:keepNext/>
        <w:keepLines/>
        <w:spacing w:after="0"/>
        <w:ind w:left="43"/>
        <w:outlineLvl w:val="2"/>
        <w:rPr>
          <w:rFonts w:ascii="Times New Roman" w:eastAsia="Calibri" w:hAnsi="Times New Roman" w:cs="Times New Roman"/>
          <w:sz w:val="24"/>
          <w:szCs w:val="24"/>
          <w:u w:val="single" w:color="000000"/>
        </w:rPr>
      </w:pPr>
      <w:r w:rsidRPr="00456D6E">
        <w:rPr>
          <w:rFonts w:ascii="Times New Roman" w:eastAsia="Calibri" w:hAnsi="Times New Roman" w:cs="Times New Roman"/>
          <w:sz w:val="24"/>
          <w:szCs w:val="24"/>
          <w:u w:val="single" w:color="000000"/>
        </w:rPr>
        <w:t>Țintă de performantă</w:t>
      </w:r>
    </w:p>
    <w:tbl>
      <w:tblPr>
        <w:tblStyle w:val="TableGrid6"/>
        <w:tblW w:w="10440" w:type="dxa"/>
        <w:tblInd w:w="87" w:type="dxa"/>
        <w:tblCellMar>
          <w:top w:w="53" w:type="dxa"/>
          <w:left w:w="108" w:type="dxa"/>
          <w:right w:w="16" w:type="dxa"/>
        </w:tblCellMar>
        <w:tblLook w:val="04A0" w:firstRow="1" w:lastRow="0" w:firstColumn="1" w:lastColumn="0" w:noHBand="0" w:noVBand="1"/>
      </w:tblPr>
      <w:tblGrid>
        <w:gridCol w:w="3150"/>
        <w:gridCol w:w="1350"/>
        <w:gridCol w:w="1350"/>
        <w:gridCol w:w="1440"/>
        <w:gridCol w:w="1530"/>
        <w:gridCol w:w="1620"/>
      </w:tblGrid>
      <w:tr w:rsidR="00456D6E" w:rsidRPr="00456D6E" w14:paraId="147028C2" w14:textId="77777777" w:rsidTr="00142BC9">
        <w:trPr>
          <w:trHeight w:val="302"/>
        </w:trPr>
        <w:tc>
          <w:tcPr>
            <w:tcW w:w="3150" w:type="dxa"/>
            <w:tcBorders>
              <w:top w:val="single" w:sz="2" w:space="0" w:color="000000"/>
              <w:left w:val="single" w:sz="2" w:space="0" w:color="000000"/>
              <w:bottom w:val="single" w:sz="2" w:space="0" w:color="000000"/>
              <w:right w:val="single" w:sz="2" w:space="0" w:color="000000"/>
            </w:tcBorders>
          </w:tcPr>
          <w:p w14:paraId="2CC568E3" w14:textId="77777777" w:rsidR="0020706D" w:rsidRPr="00456D6E" w:rsidRDefault="0020706D" w:rsidP="0020706D">
            <w:pPr>
              <w:ind w:left="14"/>
              <w:rPr>
                <w:rFonts w:ascii="Times New Roman" w:hAnsi="Times New Roman" w:cs="Times New Roman"/>
                <w:sz w:val="24"/>
                <w:szCs w:val="24"/>
                <w:lang w:val="ro-RO"/>
              </w:rPr>
            </w:pPr>
            <w:r w:rsidRPr="00456D6E">
              <w:rPr>
                <w:rFonts w:ascii="Times New Roman" w:eastAsia="Calibri" w:hAnsi="Times New Roman" w:cs="Times New Roman"/>
                <w:sz w:val="24"/>
                <w:szCs w:val="24"/>
                <w:lang w:val="ro-RO"/>
              </w:rPr>
              <w:t>Indicator</w:t>
            </w:r>
          </w:p>
        </w:tc>
        <w:tc>
          <w:tcPr>
            <w:tcW w:w="1350" w:type="dxa"/>
            <w:tcBorders>
              <w:top w:val="single" w:sz="2" w:space="0" w:color="000000"/>
              <w:left w:val="single" w:sz="2" w:space="0" w:color="000000"/>
              <w:bottom w:val="single" w:sz="2" w:space="0" w:color="000000"/>
              <w:right w:val="single" w:sz="2" w:space="0" w:color="000000"/>
            </w:tcBorders>
          </w:tcPr>
          <w:p w14:paraId="2C55850A" w14:textId="77777777" w:rsidR="0020706D" w:rsidRPr="00456D6E" w:rsidRDefault="0020706D" w:rsidP="00142BC9">
            <w:pPr>
              <w:ind w:left="7"/>
              <w:jc w:val="right"/>
              <w:rPr>
                <w:rFonts w:ascii="Times New Roman" w:hAnsi="Times New Roman" w:cs="Times New Roman"/>
                <w:sz w:val="24"/>
                <w:szCs w:val="24"/>
                <w:lang w:val="ro-RO"/>
              </w:rPr>
            </w:pPr>
            <w:r w:rsidRPr="00456D6E">
              <w:rPr>
                <w:rFonts w:ascii="Times New Roman" w:eastAsia="Calibri" w:hAnsi="Times New Roman" w:cs="Times New Roman"/>
                <w:sz w:val="24"/>
                <w:szCs w:val="24"/>
                <w:lang w:val="ro-RO"/>
              </w:rPr>
              <w:t xml:space="preserve">2022 </w:t>
            </w:r>
          </w:p>
        </w:tc>
        <w:tc>
          <w:tcPr>
            <w:tcW w:w="1350" w:type="dxa"/>
            <w:tcBorders>
              <w:top w:val="single" w:sz="2" w:space="0" w:color="000000"/>
              <w:left w:val="single" w:sz="2" w:space="0" w:color="000000"/>
              <w:bottom w:val="single" w:sz="2" w:space="0" w:color="000000"/>
              <w:right w:val="single" w:sz="2" w:space="0" w:color="000000"/>
            </w:tcBorders>
          </w:tcPr>
          <w:p w14:paraId="67DD896D" w14:textId="77777777" w:rsidR="0020706D" w:rsidRPr="00456D6E" w:rsidRDefault="0020706D" w:rsidP="00142BC9">
            <w:pPr>
              <w:ind w:left="14"/>
              <w:jc w:val="right"/>
              <w:rPr>
                <w:rFonts w:ascii="Times New Roman" w:hAnsi="Times New Roman" w:cs="Times New Roman"/>
                <w:sz w:val="24"/>
                <w:szCs w:val="24"/>
                <w:lang w:val="ro-RO"/>
              </w:rPr>
            </w:pPr>
            <w:r w:rsidRPr="00456D6E">
              <w:rPr>
                <w:rFonts w:ascii="Times New Roman" w:eastAsia="Calibri" w:hAnsi="Times New Roman" w:cs="Times New Roman"/>
                <w:sz w:val="24"/>
                <w:szCs w:val="24"/>
                <w:lang w:val="ro-RO"/>
              </w:rPr>
              <w:t xml:space="preserve">2023 </w:t>
            </w:r>
          </w:p>
        </w:tc>
        <w:tc>
          <w:tcPr>
            <w:tcW w:w="1440" w:type="dxa"/>
            <w:tcBorders>
              <w:top w:val="single" w:sz="2" w:space="0" w:color="000000"/>
              <w:left w:val="single" w:sz="2" w:space="0" w:color="000000"/>
              <w:bottom w:val="single" w:sz="2" w:space="0" w:color="000000"/>
              <w:right w:val="single" w:sz="2" w:space="0" w:color="000000"/>
            </w:tcBorders>
          </w:tcPr>
          <w:p w14:paraId="38EE0EAA" w14:textId="77777777" w:rsidR="0020706D" w:rsidRPr="00456D6E" w:rsidRDefault="0020706D" w:rsidP="00142BC9">
            <w:pPr>
              <w:ind w:left="7"/>
              <w:jc w:val="right"/>
              <w:rPr>
                <w:rFonts w:ascii="Times New Roman" w:hAnsi="Times New Roman" w:cs="Times New Roman"/>
                <w:sz w:val="24"/>
                <w:szCs w:val="24"/>
                <w:lang w:val="ro-RO"/>
              </w:rPr>
            </w:pPr>
            <w:r w:rsidRPr="00456D6E">
              <w:rPr>
                <w:rFonts w:ascii="Times New Roman" w:eastAsia="Calibri" w:hAnsi="Times New Roman" w:cs="Times New Roman"/>
                <w:sz w:val="24"/>
                <w:szCs w:val="24"/>
                <w:lang w:val="ro-RO"/>
              </w:rPr>
              <w:t xml:space="preserve">2024 </w:t>
            </w:r>
          </w:p>
        </w:tc>
        <w:tc>
          <w:tcPr>
            <w:tcW w:w="1530" w:type="dxa"/>
            <w:tcBorders>
              <w:top w:val="single" w:sz="2" w:space="0" w:color="000000"/>
              <w:left w:val="single" w:sz="2" w:space="0" w:color="000000"/>
              <w:bottom w:val="single" w:sz="2" w:space="0" w:color="000000"/>
              <w:right w:val="single" w:sz="2" w:space="0" w:color="000000"/>
            </w:tcBorders>
          </w:tcPr>
          <w:p w14:paraId="1FB55119" w14:textId="77777777" w:rsidR="0020706D" w:rsidRPr="00456D6E" w:rsidRDefault="0020706D" w:rsidP="00142BC9">
            <w:pPr>
              <w:ind w:left="10"/>
              <w:jc w:val="right"/>
              <w:rPr>
                <w:rFonts w:ascii="Times New Roman" w:hAnsi="Times New Roman" w:cs="Times New Roman"/>
                <w:sz w:val="24"/>
                <w:szCs w:val="24"/>
                <w:lang w:val="ro-RO"/>
              </w:rPr>
            </w:pPr>
            <w:r w:rsidRPr="00456D6E">
              <w:rPr>
                <w:rFonts w:ascii="Times New Roman" w:eastAsia="Calibri" w:hAnsi="Times New Roman" w:cs="Times New Roman"/>
                <w:sz w:val="24"/>
                <w:szCs w:val="24"/>
                <w:lang w:val="ro-RO"/>
              </w:rPr>
              <w:t xml:space="preserve">2025 </w:t>
            </w:r>
          </w:p>
        </w:tc>
        <w:tc>
          <w:tcPr>
            <w:tcW w:w="1620" w:type="dxa"/>
            <w:tcBorders>
              <w:top w:val="single" w:sz="2" w:space="0" w:color="000000"/>
              <w:left w:val="single" w:sz="2" w:space="0" w:color="000000"/>
              <w:bottom w:val="single" w:sz="2" w:space="0" w:color="000000"/>
              <w:right w:val="single" w:sz="2" w:space="0" w:color="000000"/>
            </w:tcBorders>
          </w:tcPr>
          <w:p w14:paraId="09F4EE8C" w14:textId="77777777" w:rsidR="0020706D" w:rsidRPr="00456D6E" w:rsidRDefault="0020706D" w:rsidP="00142BC9">
            <w:pPr>
              <w:ind w:left="14"/>
              <w:jc w:val="right"/>
              <w:rPr>
                <w:rFonts w:ascii="Times New Roman" w:hAnsi="Times New Roman" w:cs="Times New Roman"/>
                <w:sz w:val="24"/>
                <w:szCs w:val="24"/>
                <w:lang w:val="ro-RO"/>
              </w:rPr>
            </w:pPr>
            <w:r w:rsidRPr="00456D6E">
              <w:rPr>
                <w:rFonts w:ascii="Times New Roman" w:eastAsia="Calibri" w:hAnsi="Times New Roman" w:cs="Times New Roman"/>
                <w:sz w:val="24"/>
                <w:szCs w:val="24"/>
                <w:lang w:val="ro-RO"/>
              </w:rPr>
              <w:t>2033</w:t>
            </w:r>
          </w:p>
        </w:tc>
      </w:tr>
      <w:tr w:rsidR="000A02A9" w:rsidRPr="00456D6E" w14:paraId="5FF68CEC" w14:textId="77777777" w:rsidTr="00142BC9">
        <w:trPr>
          <w:trHeight w:val="302"/>
        </w:trPr>
        <w:tc>
          <w:tcPr>
            <w:tcW w:w="3150" w:type="dxa"/>
            <w:tcBorders>
              <w:top w:val="single" w:sz="2" w:space="0" w:color="000000"/>
              <w:left w:val="single" w:sz="2" w:space="0" w:color="000000"/>
              <w:bottom w:val="single" w:sz="2" w:space="0" w:color="000000"/>
              <w:right w:val="single" w:sz="2" w:space="0" w:color="000000"/>
            </w:tcBorders>
          </w:tcPr>
          <w:p w14:paraId="2DD86149" w14:textId="77777777" w:rsidR="0020706D" w:rsidRPr="00456D6E" w:rsidRDefault="0020706D" w:rsidP="0020706D">
            <w:pPr>
              <w:rPr>
                <w:rFonts w:ascii="Times New Roman" w:hAnsi="Times New Roman" w:cs="Times New Roman"/>
                <w:sz w:val="24"/>
                <w:szCs w:val="24"/>
                <w:lang w:val="ro-RO"/>
              </w:rPr>
            </w:pPr>
            <w:r w:rsidRPr="00456D6E">
              <w:rPr>
                <w:rFonts w:ascii="Times New Roman" w:eastAsia="Calibri" w:hAnsi="Times New Roman" w:cs="Times New Roman"/>
                <w:sz w:val="24"/>
                <w:szCs w:val="24"/>
                <w:lang w:val="ro-RO"/>
              </w:rPr>
              <w:t xml:space="preserve">Apa Nefacturată (%) </w:t>
            </w:r>
          </w:p>
        </w:tc>
        <w:tc>
          <w:tcPr>
            <w:tcW w:w="1350" w:type="dxa"/>
            <w:tcBorders>
              <w:top w:val="single" w:sz="2" w:space="0" w:color="000000"/>
              <w:left w:val="single" w:sz="2" w:space="0" w:color="000000"/>
              <w:bottom w:val="single" w:sz="2" w:space="0" w:color="000000"/>
              <w:right w:val="single" w:sz="2" w:space="0" w:color="000000"/>
            </w:tcBorders>
          </w:tcPr>
          <w:p w14:paraId="6118F9F2" w14:textId="77777777" w:rsidR="0020706D" w:rsidRPr="00456D6E" w:rsidRDefault="0020706D" w:rsidP="00142BC9">
            <w:pPr>
              <w:ind w:left="36"/>
              <w:jc w:val="right"/>
              <w:rPr>
                <w:rFonts w:ascii="Times New Roman" w:hAnsi="Times New Roman" w:cs="Times New Roman"/>
                <w:sz w:val="24"/>
                <w:szCs w:val="24"/>
                <w:lang w:val="ro-RO"/>
              </w:rPr>
            </w:pPr>
            <w:r w:rsidRPr="00456D6E">
              <w:rPr>
                <w:rFonts w:ascii="Times New Roman" w:eastAsia="Calibri" w:hAnsi="Times New Roman" w:cs="Times New Roman"/>
                <w:sz w:val="24"/>
                <w:szCs w:val="24"/>
                <w:lang w:val="ro-RO"/>
              </w:rPr>
              <w:t xml:space="preserve">41% </w:t>
            </w:r>
          </w:p>
        </w:tc>
        <w:tc>
          <w:tcPr>
            <w:tcW w:w="1350" w:type="dxa"/>
            <w:tcBorders>
              <w:top w:val="single" w:sz="2" w:space="0" w:color="000000"/>
              <w:left w:val="single" w:sz="2" w:space="0" w:color="000000"/>
              <w:bottom w:val="single" w:sz="2" w:space="0" w:color="000000"/>
              <w:right w:val="single" w:sz="2" w:space="0" w:color="000000"/>
            </w:tcBorders>
          </w:tcPr>
          <w:p w14:paraId="16399D3F" w14:textId="3A602229" w:rsidR="0020706D" w:rsidRPr="00456D6E" w:rsidRDefault="0020706D" w:rsidP="00142BC9">
            <w:pPr>
              <w:jc w:val="right"/>
              <w:rPr>
                <w:rFonts w:ascii="Times New Roman" w:hAnsi="Times New Roman" w:cs="Times New Roman"/>
                <w:sz w:val="24"/>
                <w:szCs w:val="24"/>
                <w:lang w:val="ro-RO"/>
              </w:rPr>
            </w:pPr>
            <w:r w:rsidRPr="00456D6E">
              <w:rPr>
                <w:rFonts w:ascii="Times New Roman" w:hAnsi="Times New Roman" w:cs="Times New Roman"/>
                <w:sz w:val="24"/>
                <w:szCs w:val="24"/>
                <w:lang w:val="ro-RO"/>
              </w:rPr>
              <w:t>40</w:t>
            </w:r>
            <w:r w:rsidRPr="00456D6E">
              <w:rPr>
                <w:rFonts w:ascii="Times New Roman" w:eastAsia="Calibri" w:hAnsi="Times New Roman" w:cs="Times New Roman"/>
                <w:sz w:val="24"/>
                <w:szCs w:val="24"/>
                <w:lang w:val="ro-RO"/>
              </w:rPr>
              <w:t>%</w:t>
            </w:r>
          </w:p>
        </w:tc>
        <w:tc>
          <w:tcPr>
            <w:tcW w:w="1440" w:type="dxa"/>
            <w:tcBorders>
              <w:top w:val="single" w:sz="2" w:space="0" w:color="000000"/>
              <w:left w:val="single" w:sz="2" w:space="0" w:color="000000"/>
              <w:bottom w:val="single" w:sz="2" w:space="0" w:color="000000"/>
              <w:right w:val="single" w:sz="2" w:space="0" w:color="000000"/>
            </w:tcBorders>
          </w:tcPr>
          <w:p w14:paraId="3B5235AE" w14:textId="77777777" w:rsidR="0020706D" w:rsidRPr="00456D6E" w:rsidRDefault="0020706D" w:rsidP="00142BC9">
            <w:pPr>
              <w:ind w:left="43"/>
              <w:jc w:val="right"/>
              <w:rPr>
                <w:rFonts w:ascii="Times New Roman" w:hAnsi="Times New Roman" w:cs="Times New Roman"/>
                <w:sz w:val="24"/>
                <w:szCs w:val="24"/>
                <w:lang w:val="ro-RO"/>
              </w:rPr>
            </w:pPr>
            <w:r w:rsidRPr="00456D6E">
              <w:rPr>
                <w:rFonts w:ascii="Times New Roman" w:eastAsia="Calibri" w:hAnsi="Times New Roman" w:cs="Times New Roman"/>
                <w:sz w:val="24"/>
                <w:szCs w:val="24"/>
                <w:lang w:val="ro-RO"/>
              </w:rPr>
              <w:t xml:space="preserve">38% </w:t>
            </w:r>
          </w:p>
        </w:tc>
        <w:tc>
          <w:tcPr>
            <w:tcW w:w="1530" w:type="dxa"/>
            <w:tcBorders>
              <w:top w:val="single" w:sz="2" w:space="0" w:color="000000"/>
              <w:left w:val="single" w:sz="2" w:space="0" w:color="000000"/>
              <w:bottom w:val="single" w:sz="2" w:space="0" w:color="000000"/>
              <w:right w:val="single" w:sz="2" w:space="0" w:color="000000"/>
            </w:tcBorders>
          </w:tcPr>
          <w:p w14:paraId="5BE22C1A" w14:textId="77777777" w:rsidR="0020706D" w:rsidRPr="00456D6E" w:rsidRDefault="0020706D" w:rsidP="00142BC9">
            <w:pPr>
              <w:ind w:left="46"/>
              <w:jc w:val="right"/>
              <w:rPr>
                <w:rFonts w:ascii="Times New Roman" w:hAnsi="Times New Roman" w:cs="Times New Roman"/>
                <w:sz w:val="24"/>
                <w:szCs w:val="24"/>
                <w:lang w:val="ro-RO"/>
              </w:rPr>
            </w:pPr>
            <w:r w:rsidRPr="00456D6E">
              <w:rPr>
                <w:rFonts w:ascii="Times New Roman" w:eastAsia="Calibri" w:hAnsi="Times New Roman" w:cs="Times New Roman"/>
                <w:sz w:val="24"/>
                <w:szCs w:val="24"/>
                <w:lang w:val="ro-RO"/>
              </w:rPr>
              <w:t>36%</w:t>
            </w:r>
          </w:p>
        </w:tc>
        <w:tc>
          <w:tcPr>
            <w:tcW w:w="1620" w:type="dxa"/>
            <w:tcBorders>
              <w:top w:val="single" w:sz="2" w:space="0" w:color="000000"/>
              <w:left w:val="single" w:sz="2" w:space="0" w:color="000000"/>
              <w:bottom w:val="single" w:sz="2" w:space="0" w:color="000000"/>
              <w:right w:val="single" w:sz="2" w:space="0" w:color="000000"/>
            </w:tcBorders>
          </w:tcPr>
          <w:p w14:paraId="0EC2BDC3" w14:textId="150B4285" w:rsidR="0020706D" w:rsidRPr="00456D6E" w:rsidRDefault="0020706D" w:rsidP="00142BC9">
            <w:pPr>
              <w:jc w:val="right"/>
              <w:rPr>
                <w:rFonts w:ascii="Times New Roman" w:hAnsi="Times New Roman" w:cs="Times New Roman"/>
                <w:sz w:val="24"/>
                <w:szCs w:val="24"/>
                <w:lang w:val="ro-RO"/>
              </w:rPr>
            </w:pPr>
            <w:r w:rsidRPr="00456D6E">
              <w:rPr>
                <w:rFonts w:ascii="Times New Roman" w:hAnsi="Times New Roman" w:cs="Times New Roman"/>
                <w:sz w:val="24"/>
                <w:szCs w:val="24"/>
                <w:lang w:val="ro-RO"/>
              </w:rPr>
              <w:t>30</w:t>
            </w:r>
            <w:r w:rsidRPr="00456D6E">
              <w:rPr>
                <w:rFonts w:ascii="Times New Roman" w:eastAsia="Calibri" w:hAnsi="Times New Roman" w:cs="Times New Roman"/>
                <w:sz w:val="24"/>
                <w:szCs w:val="24"/>
                <w:lang w:val="ro-RO"/>
              </w:rPr>
              <w:t>%</w:t>
            </w:r>
          </w:p>
        </w:tc>
      </w:tr>
    </w:tbl>
    <w:p w14:paraId="03BC274B" w14:textId="77777777" w:rsidR="005A3BC6" w:rsidRPr="00456D6E" w:rsidRDefault="005A3BC6" w:rsidP="00721EBF">
      <w:pPr>
        <w:spacing w:after="12" w:line="252" w:lineRule="auto"/>
        <w:ind w:left="14" w:right="14" w:firstLine="4"/>
        <w:jc w:val="center"/>
        <w:rPr>
          <w:rFonts w:ascii="Times New Roman" w:eastAsia="Times New Roman" w:hAnsi="Times New Roman" w:cs="Times New Roman"/>
          <w:sz w:val="24"/>
          <w:szCs w:val="24"/>
        </w:rPr>
      </w:pPr>
    </w:p>
    <w:p w14:paraId="086584A7" w14:textId="77777777" w:rsidR="00EC092A" w:rsidRPr="00456D6E" w:rsidRDefault="00EC092A" w:rsidP="00EC092A">
      <w:pPr>
        <w:spacing w:after="61" w:line="248" w:lineRule="auto"/>
        <w:ind w:left="24" w:right="7" w:hanging="10"/>
        <w:jc w:val="both"/>
        <w:rPr>
          <w:rFonts w:ascii="Times New Roman" w:eastAsia="Times New Roman" w:hAnsi="Times New Roman" w:cs="Times New Roman"/>
          <w:sz w:val="24"/>
          <w:szCs w:val="24"/>
        </w:rPr>
      </w:pPr>
      <w:r w:rsidRPr="00456D6E">
        <w:rPr>
          <w:rFonts w:ascii="Times New Roman" w:eastAsia="Calibri" w:hAnsi="Times New Roman" w:cs="Times New Roman"/>
          <w:sz w:val="24"/>
          <w:szCs w:val="24"/>
          <w:u w:val="single" w:color="000000"/>
        </w:rPr>
        <w:t>Nivel minim</w:t>
      </w:r>
      <w:r w:rsidRPr="00456D6E">
        <w:rPr>
          <w:rFonts w:ascii="Times New Roman" w:eastAsia="Calibri" w:hAnsi="Times New Roman" w:cs="Times New Roman"/>
          <w:sz w:val="24"/>
          <w:szCs w:val="24"/>
        </w:rPr>
        <w:t>: După anul 2025 și până în anul 2033 în nici unul dintre anii intermediari nivelul acestui indicator nu va trece peste valoarea din anul țintă din 2025.”</w:t>
      </w:r>
    </w:p>
    <w:p w14:paraId="399EA7B3" w14:textId="77777777" w:rsidR="00EC092A" w:rsidRPr="00456D6E" w:rsidRDefault="00EC092A" w:rsidP="009A0273">
      <w:pPr>
        <w:spacing w:after="65" w:line="248" w:lineRule="auto"/>
        <w:ind w:left="24" w:right="7" w:firstLine="682"/>
        <w:jc w:val="both"/>
        <w:rPr>
          <w:rFonts w:ascii="Times New Roman" w:eastAsia="Times New Roman" w:hAnsi="Times New Roman" w:cs="Times New Roman"/>
          <w:sz w:val="24"/>
          <w:szCs w:val="24"/>
        </w:rPr>
      </w:pPr>
      <w:r w:rsidRPr="00456D6E">
        <w:rPr>
          <w:rFonts w:ascii="Times New Roman" w:eastAsia="Calibri" w:hAnsi="Times New Roman" w:cs="Times New Roman"/>
          <w:sz w:val="24"/>
          <w:szCs w:val="24"/>
        </w:rPr>
        <w:t xml:space="preserve">De asemenea prin Actul adițional nr. 13 la Contractul de delegare a gestiunii serviciilor publice de alimentare cu apă și de canalizare nr. 12.313/ 19.11.2009 se actualizează </w:t>
      </w:r>
      <w:r w:rsidRPr="00456D6E">
        <w:rPr>
          <w:rFonts w:ascii="Times New Roman" w:eastAsia="Calibri" w:hAnsi="Times New Roman" w:cs="Times New Roman"/>
          <w:b/>
          <w:bCs/>
          <w:sz w:val="24"/>
          <w:szCs w:val="24"/>
        </w:rPr>
        <w:t>Listele bunurilor</w:t>
      </w:r>
      <w:r w:rsidRPr="00456D6E">
        <w:rPr>
          <w:rFonts w:ascii="Times New Roman" w:eastAsia="Calibri" w:hAnsi="Times New Roman" w:cs="Times New Roman"/>
          <w:sz w:val="24"/>
          <w:szCs w:val="24"/>
        </w:rPr>
        <w:t xml:space="preserve"> proprietate publică și privată, aferente serviciilor delegate și care sunt transmise spre folosință Apaserv Satu Mare S.A. pe durata contractului de delegare aferente: U.A.T. Crucișor, U.A.T. Livada, U.A.T. Medieșu Aurit, U.A.T. Socond, U.A.T. Terebești, respectiv introducerea ca anexă a Listei bunurilor de retur ale U.A.T. Racșa.</w:t>
      </w:r>
    </w:p>
    <w:p w14:paraId="13715EEA" w14:textId="29766395" w:rsidR="003A38DE" w:rsidRDefault="000315A4" w:rsidP="007454AA">
      <w:pPr>
        <w:spacing w:after="0" w:line="248" w:lineRule="auto"/>
        <w:ind w:left="24" w:right="7" w:firstLine="336"/>
        <w:jc w:val="both"/>
        <w:rPr>
          <w:rFonts w:ascii="Times New Roman" w:hAnsi="Times New Roman" w:cs="Times New Roman"/>
          <w:b/>
          <w:bCs/>
          <w:sz w:val="24"/>
          <w:szCs w:val="24"/>
        </w:rPr>
      </w:pPr>
      <w:r>
        <w:rPr>
          <w:rFonts w:ascii="Times New Roman" w:eastAsia="Calibri" w:hAnsi="Times New Roman" w:cs="Times New Roman"/>
          <w:color w:val="FF0000"/>
          <w:sz w:val="24"/>
          <w:szCs w:val="24"/>
        </w:rPr>
        <w:t xml:space="preserve">     </w:t>
      </w:r>
      <w:r>
        <w:rPr>
          <w:rFonts w:ascii="Times New Roman" w:hAnsi="Times New Roman" w:cs="Times New Roman"/>
          <w:sz w:val="24"/>
          <w:szCs w:val="24"/>
        </w:rPr>
        <w:t xml:space="preserve"> </w:t>
      </w:r>
      <w:proofErr w:type="spellStart"/>
      <w:r w:rsidR="003A38DE" w:rsidRPr="00BA60A2">
        <w:rPr>
          <w:rFonts w:ascii="Times New Roman" w:hAnsi="Times New Roman" w:cs="Times New Roman"/>
          <w:sz w:val="24"/>
          <w:szCs w:val="24"/>
        </w:rPr>
        <w:t>Apaserv</w:t>
      </w:r>
      <w:proofErr w:type="spellEnd"/>
      <w:r w:rsidR="003A38DE" w:rsidRPr="00BA60A2">
        <w:rPr>
          <w:rFonts w:ascii="Times New Roman" w:hAnsi="Times New Roman" w:cs="Times New Roman"/>
          <w:sz w:val="24"/>
          <w:szCs w:val="24"/>
        </w:rPr>
        <w:t xml:space="preserve"> Satu Mare S.A. propune creșterea redevenței la aproximativ 23,2 % din valoarea facturilor de apă, apă/canalizare-epurare estimate a fi emise pe parcursul anului. </w:t>
      </w:r>
      <w:r w:rsidR="003A38DE" w:rsidRPr="00BA60A2">
        <w:rPr>
          <w:rFonts w:ascii="Times New Roman" w:hAnsi="Times New Roman" w:cs="Times New Roman"/>
          <w:b/>
          <w:bCs/>
          <w:sz w:val="24"/>
          <w:szCs w:val="24"/>
        </w:rPr>
        <w:t>Astfel, din fiecare factură emisă către clienții noștri, 23,2% din valoarea facturii va fi redirecționat către investiții.</w:t>
      </w:r>
    </w:p>
    <w:p w14:paraId="39DB6F30" w14:textId="77777777" w:rsidR="00456D6E" w:rsidRDefault="00456D6E" w:rsidP="007454AA">
      <w:pPr>
        <w:spacing w:after="0" w:line="248" w:lineRule="auto"/>
        <w:ind w:left="24" w:right="7" w:firstLine="336"/>
        <w:jc w:val="both"/>
        <w:rPr>
          <w:rFonts w:ascii="Times New Roman" w:hAnsi="Times New Roman" w:cs="Times New Roman"/>
          <w:sz w:val="24"/>
          <w:szCs w:val="24"/>
        </w:rPr>
      </w:pPr>
    </w:p>
    <w:p w14:paraId="272DDEC6" w14:textId="77777777" w:rsidR="00456D6E" w:rsidRPr="00BA60A2" w:rsidRDefault="00456D6E" w:rsidP="007454AA">
      <w:pPr>
        <w:spacing w:after="0" w:line="248" w:lineRule="auto"/>
        <w:ind w:left="24" w:right="7" w:firstLine="336"/>
        <w:jc w:val="both"/>
        <w:rPr>
          <w:rFonts w:ascii="Times New Roman" w:hAnsi="Times New Roman" w:cs="Times New Roman"/>
          <w:sz w:val="24"/>
          <w:szCs w:val="24"/>
        </w:rPr>
      </w:pPr>
    </w:p>
    <w:p w14:paraId="7F5304B4" w14:textId="0828F626" w:rsidR="003A38DE" w:rsidRPr="00BA60A2" w:rsidRDefault="003A38DE" w:rsidP="00456D6E">
      <w:pPr>
        <w:spacing w:after="0" w:line="240" w:lineRule="auto"/>
        <w:jc w:val="both"/>
        <w:rPr>
          <w:rFonts w:ascii="Times New Roman" w:hAnsi="Times New Roman" w:cs="Times New Roman"/>
          <w:sz w:val="24"/>
          <w:szCs w:val="24"/>
        </w:rPr>
      </w:pPr>
      <w:r w:rsidRPr="00BA60A2">
        <w:rPr>
          <w:rFonts w:ascii="Times New Roman" w:hAnsi="Times New Roman" w:cs="Times New Roman"/>
          <w:i/>
          <w:color w:val="000000" w:themeColor="text1"/>
          <w:sz w:val="24"/>
          <w:szCs w:val="24"/>
        </w:rPr>
        <w:tab/>
      </w:r>
      <w:proofErr w:type="spellStart"/>
      <w:r w:rsidRPr="00BA60A2">
        <w:rPr>
          <w:rFonts w:ascii="Times New Roman" w:hAnsi="Times New Roman" w:cs="Times New Roman"/>
          <w:sz w:val="24"/>
          <w:szCs w:val="24"/>
        </w:rPr>
        <w:t>Apaserv</w:t>
      </w:r>
      <w:proofErr w:type="spellEnd"/>
      <w:r w:rsidRPr="00BA60A2">
        <w:rPr>
          <w:rFonts w:ascii="Times New Roman" w:hAnsi="Times New Roman" w:cs="Times New Roman"/>
          <w:sz w:val="24"/>
          <w:szCs w:val="24"/>
        </w:rPr>
        <w:t xml:space="preserve"> Satu Mare S.A.</w:t>
      </w:r>
      <w:r w:rsidR="007454AA">
        <w:rPr>
          <w:rFonts w:ascii="Times New Roman" w:hAnsi="Times New Roman" w:cs="Times New Roman"/>
          <w:sz w:val="24"/>
          <w:szCs w:val="24"/>
        </w:rPr>
        <w:t xml:space="preserve"> </w:t>
      </w:r>
      <w:r w:rsidRPr="00BA60A2">
        <w:rPr>
          <w:rFonts w:ascii="Times New Roman" w:hAnsi="Times New Roman" w:cs="Times New Roman"/>
          <w:sz w:val="24"/>
          <w:szCs w:val="24"/>
        </w:rPr>
        <w:t xml:space="preserve">a solicitat actualizarea Analizei Cost-Beneficiu,  parte a Studiului de Fezabilitate pentru </w:t>
      </w:r>
      <w:r w:rsidR="009A0273">
        <w:rPr>
          <w:rFonts w:ascii="Times New Roman" w:hAnsi="Times New Roman" w:cs="Times New Roman"/>
          <w:sz w:val="24"/>
          <w:szCs w:val="24"/>
        </w:rPr>
        <w:t>,,</w:t>
      </w:r>
      <w:r w:rsidRPr="00BA60A2">
        <w:rPr>
          <w:rFonts w:ascii="Times New Roman" w:hAnsi="Times New Roman" w:cs="Times New Roman"/>
          <w:sz w:val="24"/>
          <w:szCs w:val="24"/>
        </w:rPr>
        <w:t>Proiect regional de dezvoltare a infrastructurii de apă și apă uzată din județul Satu Mare/Regiunea Nord - Vest, în perioada 2014-2020, cod SMIS 123241”.</w:t>
      </w:r>
    </w:p>
    <w:p w14:paraId="2EE87B75" w14:textId="409279B6" w:rsidR="003A38DE" w:rsidRPr="00BA60A2" w:rsidRDefault="003A38DE" w:rsidP="00456D6E">
      <w:pPr>
        <w:spacing w:after="0" w:line="240" w:lineRule="auto"/>
        <w:ind w:firstLine="706"/>
        <w:jc w:val="both"/>
        <w:rPr>
          <w:rFonts w:ascii="Times New Roman" w:hAnsi="Times New Roman" w:cs="Times New Roman"/>
          <w:noProof/>
          <w:sz w:val="24"/>
          <w:szCs w:val="24"/>
        </w:rPr>
      </w:pPr>
      <w:r w:rsidRPr="00BA60A2">
        <w:rPr>
          <w:rFonts w:ascii="Times New Roman" w:hAnsi="Times New Roman" w:cs="Times New Roman"/>
          <w:noProof/>
          <w:sz w:val="24"/>
          <w:szCs w:val="24"/>
        </w:rPr>
        <w:t>Analizând impactul modificărilor asupra rezultatelor Analizei Cost-Beneficiu, a reieșit necesitatea actualizarii Strategiei tarifare care a fost aprobată în Contractul de Delegare și face parte din Contractul de Finanțare POIM nr 278/19.11.2019 încheiat între A</w:t>
      </w:r>
      <w:r w:rsidR="007454AA" w:rsidRPr="00BA60A2">
        <w:rPr>
          <w:rFonts w:ascii="Times New Roman" w:hAnsi="Times New Roman" w:cs="Times New Roman"/>
          <w:noProof/>
          <w:sz w:val="24"/>
          <w:szCs w:val="24"/>
        </w:rPr>
        <w:t>paserv</w:t>
      </w:r>
      <w:r w:rsidRPr="00BA60A2">
        <w:rPr>
          <w:rFonts w:ascii="Times New Roman" w:hAnsi="Times New Roman" w:cs="Times New Roman"/>
          <w:noProof/>
          <w:sz w:val="24"/>
          <w:szCs w:val="24"/>
        </w:rPr>
        <w:t xml:space="preserve"> S</w:t>
      </w:r>
      <w:r w:rsidR="007454AA" w:rsidRPr="00BA60A2">
        <w:rPr>
          <w:rFonts w:ascii="Times New Roman" w:hAnsi="Times New Roman" w:cs="Times New Roman"/>
          <w:noProof/>
          <w:sz w:val="24"/>
          <w:szCs w:val="24"/>
        </w:rPr>
        <w:t>atu</w:t>
      </w:r>
      <w:r w:rsidRPr="00BA60A2">
        <w:rPr>
          <w:rFonts w:ascii="Times New Roman" w:hAnsi="Times New Roman" w:cs="Times New Roman"/>
          <w:noProof/>
          <w:sz w:val="24"/>
          <w:szCs w:val="24"/>
        </w:rPr>
        <w:t xml:space="preserve"> M</w:t>
      </w:r>
      <w:r w:rsidR="007454AA" w:rsidRPr="00BA60A2">
        <w:rPr>
          <w:rFonts w:ascii="Times New Roman" w:hAnsi="Times New Roman" w:cs="Times New Roman"/>
          <w:noProof/>
          <w:sz w:val="24"/>
          <w:szCs w:val="24"/>
        </w:rPr>
        <w:t>are</w:t>
      </w:r>
      <w:r w:rsidRPr="00BA60A2">
        <w:rPr>
          <w:rFonts w:ascii="Times New Roman" w:hAnsi="Times New Roman" w:cs="Times New Roman"/>
          <w:noProof/>
          <w:sz w:val="24"/>
          <w:szCs w:val="24"/>
        </w:rPr>
        <w:t xml:space="preserve"> S.A. și M</w:t>
      </w:r>
      <w:r w:rsidR="007454AA" w:rsidRPr="00BA60A2">
        <w:rPr>
          <w:rFonts w:ascii="Times New Roman" w:hAnsi="Times New Roman" w:cs="Times New Roman"/>
          <w:noProof/>
          <w:sz w:val="24"/>
          <w:szCs w:val="24"/>
        </w:rPr>
        <w:t>inisterul</w:t>
      </w:r>
      <w:r w:rsidRPr="00BA60A2">
        <w:rPr>
          <w:rFonts w:ascii="Times New Roman" w:hAnsi="Times New Roman" w:cs="Times New Roman"/>
          <w:noProof/>
          <w:sz w:val="24"/>
          <w:szCs w:val="24"/>
        </w:rPr>
        <w:t xml:space="preserve"> I</w:t>
      </w:r>
      <w:r w:rsidR="007454AA" w:rsidRPr="00BA60A2">
        <w:rPr>
          <w:rFonts w:ascii="Times New Roman" w:hAnsi="Times New Roman" w:cs="Times New Roman"/>
          <w:noProof/>
          <w:sz w:val="24"/>
          <w:szCs w:val="24"/>
        </w:rPr>
        <w:t>nvestițiilor</w:t>
      </w:r>
      <w:r w:rsidRPr="00BA60A2">
        <w:rPr>
          <w:rFonts w:ascii="Times New Roman" w:hAnsi="Times New Roman" w:cs="Times New Roman"/>
          <w:noProof/>
          <w:sz w:val="24"/>
          <w:szCs w:val="24"/>
        </w:rPr>
        <w:t xml:space="preserve"> și F</w:t>
      </w:r>
      <w:r w:rsidR="007454AA" w:rsidRPr="00BA60A2">
        <w:rPr>
          <w:rFonts w:ascii="Times New Roman" w:hAnsi="Times New Roman" w:cs="Times New Roman"/>
          <w:noProof/>
          <w:sz w:val="24"/>
          <w:szCs w:val="24"/>
        </w:rPr>
        <w:t>ondurilor</w:t>
      </w:r>
      <w:r w:rsidRPr="00BA60A2">
        <w:rPr>
          <w:rFonts w:ascii="Times New Roman" w:hAnsi="Times New Roman" w:cs="Times New Roman"/>
          <w:noProof/>
          <w:sz w:val="24"/>
          <w:szCs w:val="24"/>
        </w:rPr>
        <w:t xml:space="preserve"> E</w:t>
      </w:r>
      <w:r w:rsidR="007454AA" w:rsidRPr="00BA60A2">
        <w:rPr>
          <w:rFonts w:ascii="Times New Roman" w:hAnsi="Times New Roman" w:cs="Times New Roman"/>
          <w:noProof/>
          <w:sz w:val="24"/>
          <w:szCs w:val="24"/>
        </w:rPr>
        <w:t>uropene</w:t>
      </w:r>
      <w:r w:rsidRPr="00BA60A2">
        <w:rPr>
          <w:rFonts w:ascii="Times New Roman" w:hAnsi="Times New Roman" w:cs="Times New Roman"/>
          <w:noProof/>
          <w:sz w:val="24"/>
          <w:szCs w:val="24"/>
        </w:rPr>
        <w:t xml:space="preserve"> în calitate de Autoritate de Management pentru POIM pentru “Proiectul regional de dezvoltare a infrastructurii de apa si apa uzata din Judetul Satu Mare / Regiunea Nord-Vest, in perioada 2014-2020”.</w:t>
      </w:r>
    </w:p>
    <w:p w14:paraId="27D4F9F8" w14:textId="194CB864" w:rsidR="003A38DE" w:rsidRPr="00BA60A2" w:rsidRDefault="007454AA" w:rsidP="00456D6E">
      <w:pPr>
        <w:spacing w:after="0" w:line="240"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            </w:t>
      </w:r>
      <w:r w:rsidR="003A38DE" w:rsidRPr="00BA60A2">
        <w:rPr>
          <w:rFonts w:ascii="Times New Roman" w:hAnsi="Times New Roman" w:cs="Times New Roman"/>
          <w:noProof/>
          <w:sz w:val="24"/>
          <w:szCs w:val="24"/>
        </w:rPr>
        <w:t>Actualizarea Analizei Cost-Beneficiu și a Strategiei tarifare a fost făcută astfel încât să fie respectate toate condițiile impuse prin:</w:t>
      </w:r>
    </w:p>
    <w:p w14:paraId="308656FE" w14:textId="77777777" w:rsidR="003A38DE" w:rsidRPr="00BA60A2" w:rsidRDefault="003A38DE" w:rsidP="00456D6E">
      <w:pPr>
        <w:numPr>
          <w:ilvl w:val="0"/>
          <w:numId w:val="2"/>
        </w:numPr>
        <w:spacing w:after="0" w:line="240" w:lineRule="auto"/>
        <w:ind w:left="0"/>
        <w:jc w:val="both"/>
        <w:rPr>
          <w:rFonts w:ascii="Times New Roman" w:hAnsi="Times New Roman" w:cs="Times New Roman"/>
          <w:noProof/>
          <w:sz w:val="24"/>
          <w:szCs w:val="24"/>
        </w:rPr>
      </w:pPr>
      <w:r w:rsidRPr="00BA60A2">
        <w:rPr>
          <w:rFonts w:ascii="Times New Roman" w:hAnsi="Times New Roman" w:cs="Times New Roman"/>
          <w:noProof/>
          <w:sz w:val="24"/>
          <w:szCs w:val="24"/>
        </w:rPr>
        <w:t>Ghidul Analizei Cost – Beneficiu al proiectelor de investiții (versiunea decembrie 2014), ce stabilește cadrul general metodologic pentru a realiza ACB în contextul finanțării CE,</w:t>
      </w:r>
    </w:p>
    <w:p w14:paraId="2CC41515" w14:textId="6DC850A3" w:rsidR="003A38DE" w:rsidRDefault="003A38DE" w:rsidP="00456D6E">
      <w:pPr>
        <w:numPr>
          <w:ilvl w:val="0"/>
          <w:numId w:val="2"/>
        </w:numPr>
        <w:spacing w:after="0" w:line="240" w:lineRule="auto"/>
        <w:ind w:left="0"/>
        <w:jc w:val="both"/>
        <w:rPr>
          <w:rFonts w:ascii="Times New Roman" w:hAnsi="Times New Roman" w:cs="Times New Roman"/>
          <w:noProof/>
          <w:sz w:val="24"/>
          <w:szCs w:val="24"/>
        </w:rPr>
      </w:pPr>
      <w:r w:rsidRPr="00BA60A2">
        <w:rPr>
          <w:rFonts w:ascii="Times New Roman" w:hAnsi="Times New Roman" w:cs="Times New Roman"/>
          <w:noProof/>
          <w:sz w:val="24"/>
          <w:szCs w:val="24"/>
        </w:rPr>
        <w:t>„Metodologia de analiză cost-beneficiu pentru investițiile în infrastructura de apă și canalizare finanțate din fonduri publice” aprobată prin H.G. 677/2017, cu modificările și completările ulterioare.</w:t>
      </w:r>
    </w:p>
    <w:p w14:paraId="334EA858" w14:textId="77777777" w:rsidR="00456D6E" w:rsidRDefault="00456D6E" w:rsidP="00456D6E">
      <w:pPr>
        <w:numPr>
          <w:ilvl w:val="0"/>
          <w:numId w:val="2"/>
        </w:numPr>
        <w:spacing w:after="0" w:line="240" w:lineRule="auto"/>
        <w:ind w:left="0"/>
        <w:jc w:val="both"/>
        <w:rPr>
          <w:rFonts w:ascii="Times New Roman" w:hAnsi="Times New Roman" w:cs="Times New Roman"/>
          <w:noProof/>
          <w:sz w:val="24"/>
          <w:szCs w:val="24"/>
        </w:rPr>
      </w:pPr>
    </w:p>
    <w:p w14:paraId="7969930D" w14:textId="7F24EF5F" w:rsidR="003A38DE" w:rsidRDefault="003A38DE" w:rsidP="00456D6E">
      <w:pPr>
        <w:spacing w:after="0" w:line="240" w:lineRule="auto"/>
        <w:ind w:firstLine="706"/>
        <w:jc w:val="both"/>
        <w:rPr>
          <w:rFonts w:ascii="Times New Roman" w:hAnsi="Times New Roman" w:cs="Times New Roman"/>
          <w:b/>
          <w:bCs/>
          <w:sz w:val="24"/>
          <w:szCs w:val="24"/>
        </w:rPr>
      </w:pPr>
      <w:r w:rsidRPr="00456D6E">
        <w:rPr>
          <w:rFonts w:ascii="Times New Roman" w:hAnsi="Times New Roman" w:cs="Times New Roman"/>
          <w:b/>
          <w:bCs/>
          <w:sz w:val="24"/>
          <w:szCs w:val="24"/>
        </w:rPr>
        <w:t>Strategia de tarifare</w:t>
      </w:r>
      <w:r w:rsidRPr="00456D6E">
        <w:rPr>
          <w:rFonts w:ascii="Times New Roman" w:hAnsi="Times New Roman" w:cs="Times New Roman"/>
          <w:sz w:val="24"/>
          <w:szCs w:val="24"/>
        </w:rPr>
        <w:t xml:space="preserve"> este parte componentă din Contractul de delegare al gestiunii serviciilor publice de alimentare cu apă şi de canalizare nr.12.313/19.11.2009 </w:t>
      </w:r>
      <w:r w:rsidRPr="00456D6E">
        <w:rPr>
          <w:rFonts w:ascii="Times New Roman" w:hAnsi="Times New Roman" w:cs="Times New Roman"/>
          <w:b/>
          <w:bCs/>
          <w:sz w:val="24"/>
          <w:szCs w:val="24"/>
        </w:rPr>
        <w:t>şi face obiectul Actului adiţional nr. 14 la Contractul de delegare.</w:t>
      </w:r>
    </w:p>
    <w:p w14:paraId="6A6887AA" w14:textId="77777777" w:rsidR="00456D6E" w:rsidRDefault="00456D6E" w:rsidP="00456D6E">
      <w:pPr>
        <w:spacing w:after="0" w:line="240" w:lineRule="auto"/>
        <w:ind w:firstLine="706"/>
        <w:jc w:val="both"/>
        <w:rPr>
          <w:rFonts w:ascii="Times New Roman" w:hAnsi="Times New Roman" w:cs="Times New Roman"/>
          <w:b/>
          <w:bCs/>
          <w:sz w:val="24"/>
          <w:szCs w:val="24"/>
        </w:rPr>
      </w:pPr>
    </w:p>
    <w:p w14:paraId="2EE6A333" w14:textId="77777777" w:rsidR="00456D6E" w:rsidRDefault="00456D6E" w:rsidP="00456D6E">
      <w:pPr>
        <w:spacing w:after="0" w:line="240" w:lineRule="auto"/>
        <w:ind w:firstLine="706"/>
        <w:jc w:val="both"/>
        <w:rPr>
          <w:rFonts w:ascii="Times New Roman" w:hAnsi="Times New Roman" w:cs="Times New Roman"/>
          <w:b/>
          <w:bCs/>
          <w:sz w:val="24"/>
          <w:szCs w:val="24"/>
        </w:rPr>
      </w:pPr>
    </w:p>
    <w:p w14:paraId="3021262E" w14:textId="77777777" w:rsidR="00456D6E" w:rsidRDefault="00456D6E" w:rsidP="00456D6E">
      <w:pPr>
        <w:spacing w:after="0" w:line="240" w:lineRule="auto"/>
        <w:ind w:firstLine="706"/>
        <w:jc w:val="both"/>
        <w:rPr>
          <w:rFonts w:ascii="Times New Roman" w:hAnsi="Times New Roman" w:cs="Times New Roman"/>
          <w:b/>
          <w:bCs/>
          <w:sz w:val="24"/>
          <w:szCs w:val="24"/>
        </w:rPr>
      </w:pPr>
    </w:p>
    <w:p w14:paraId="78FC1868" w14:textId="77777777" w:rsidR="00456D6E" w:rsidRPr="00456D6E" w:rsidRDefault="00456D6E" w:rsidP="00456D6E">
      <w:pPr>
        <w:spacing w:after="0" w:line="240" w:lineRule="auto"/>
        <w:ind w:firstLine="706"/>
        <w:jc w:val="both"/>
        <w:rPr>
          <w:rFonts w:ascii="Times New Roman" w:hAnsi="Times New Roman" w:cs="Times New Roman"/>
          <w:b/>
          <w:bCs/>
          <w:sz w:val="24"/>
          <w:szCs w:val="24"/>
        </w:rPr>
      </w:pPr>
    </w:p>
    <w:p w14:paraId="29FF05A6" w14:textId="0E0C55F7" w:rsidR="00F64480" w:rsidRPr="00456D6E" w:rsidRDefault="00F64480" w:rsidP="00456D6E">
      <w:pPr>
        <w:spacing w:after="0" w:line="240" w:lineRule="auto"/>
        <w:rPr>
          <w:rFonts w:ascii="Times New Roman" w:eastAsia="Calibri" w:hAnsi="Times New Roman" w:cs="Times New Roman"/>
          <w:b/>
          <w:bCs/>
          <w:sz w:val="24"/>
          <w:szCs w:val="24"/>
          <w:u w:val="single"/>
        </w:rPr>
      </w:pPr>
      <w:r w:rsidRPr="00456D6E">
        <w:rPr>
          <w:rFonts w:ascii="Times New Roman" w:eastAsia="Calibri" w:hAnsi="Times New Roman" w:cs="Times New Roman"/>
          <w:b/>
          <w:bCs/>
          <w:sz w:val="24"/>
          <w:szCs w:val="24"/>
          <w:u w:val="single"/>
        </w:rPr>
        <w:t>Actualizarea Planului Anual de evoluție a tarifelor / Strategiei tarifare:</w:t>
      </w:r>
    </w:p>
    <w:p w14:paraId="040600C5" w14:textId="77777777" w:rsidR="00456D6E" w:rsidRPr="00456D6E" w:rsidRDefault="00456D6E" w:rsidP="00456D6E">
      <w:pPr>
        <w:spacing w:after="0" w:line="240" w:lineRule="auto"/>
        <w:rPr>
          <w:rFonts w:ascii="Times New Roman" w:eastAsia="Calibri" w:hAnsi="Times New Roman" w:cs="Times New Roman"/>
          <w:sz w:val="24"/>
          <w:szCs w:val="24"/>
          <w:u w:val="single"/>
        </w:rPr>
      </w:pPr>
    </w:p>
    <w:p w14:paraId="0A4A8A6C" w14:textId="3C1AF94F" w:rsidR="00F64480" w:rsidRDefault="00F64480" w:rsidP="00456D6E">
      <w:pPr>
        <w:spacing w:after="0" w:line="240" w:lineRule="auto"/>
        <w:rPr>
          <w:rFonts w:ascii="Times New Roman" w:eastAsia="Calibri" w:hAnsi="Times New Roman" w:cs="Times New Roman"/>
          <w:sz w:val="24"/>
          <w:szCs w:val="24"/>
        </w:rPr>
      </w:pPr>
      <w:bookmarkStart w:id="0" w:name="_Hlk153786480"/>
      <w:r w:rsidRPr="00456D6E">
        <w:rPr>
          <w:rFonts w:ascii="Times New Roman" w:eastAsia="Calibri" w:hAnsi="Times New Roman" w:cs="Times New Roman"/>
          <w:sz w:val="24"/>
          <w:szCs w:val="24"/>
        </w:rPr>
        <w:t>Tabel Strategia de tarifare actualizată 2022</w:t>
      </w:r>
    </w:p>
    <w:p w14:paraId="30F159CE" w14:textId="77777777" w:rsidR="00456D6E" w:rsidRDefault="00456D6E" w:rsidP="00456D6E">
      <w:pPr>
        <w:spacing w:after="0" w:line="240" w:lineRule="auto"/>
        <w:rPr>
          <w:rFonts w:ascii="Times New Roman" w:eastAsia="Calibri" w:hAnsi="Times New Roman" w:cs="Times New Roman"/>
          <w:sz w:val="24"/>
          <w:szCs w:val="24"/>
        </w:rPr>
      </w:pPr>
    </w:p>
    <w:bookmarkEnd w:id="0"/>
    <w:p w14:paraId="71DB0F48" w14:textId="2BDB6FB9" w:rsidR="00F64480" w:rsidRPr="00BA60A2" w:rsidRDefault="00F64480" w:rsidP="00F64480">
      <w:pPr>
        <w:rPr>
          <w:rFonts w:ascii="Times New Roman" w:eastAsia="Calibri" w:hAnsi="Times New Roman" w:cs="Times New Roman"/>
          <w:color w:val="FF0000"/>
          <w:sz w:val="24"/>
          <w:szCs w:val="24"/>
        </w:rPr>
      </w:pPr>
      <w:r w:rsidRPr="00BA60A2">
        <w:rPr>
          <w:rFonts w:ascii="Times New Roman" w:eastAsia="Calibri" w:hAnsi="Times New Roman" w:cs="Times New Roman"/>
          <w:noProof/>
          <w:color w:val="FF0000"/>
          <w:sz w:val="24"/>
          <w:szCs w:val="24"/>
        </w:rPr>
        <w:drawing>
          <wp:inline distT="0" distB="0" distL="0" distR="0" wp14:anchorId="3407886D" wp14:editId="4A69ABD0">
            <wp:extent cx="6734175" cy="788035"/>
            <wp:effectExtent l="0" t="0" r="9525" b="0"/>
            <wp:docPr id="27798" name="Picture 27798"/>
            <wp:cNvGraphicFramePr/>
            <a:graphic xmlns:a="http://schemas.openxmlformats.org/drawingml/2006/main">
              <a:graphicData uri="http://schemas.openxmlformats.org/drawingml/2006/picture">
                <pic:pic xmlns:pic="http://schemas.openxmlformats.org/drawingml/2006/picture">
                  <pic:nvPicPr>
                    <pic:cNvPr id="27798" name="Picture 27798"/>
                    <pic:cNvPicPr/>
                  </pic:nvPicPr>
                  <pic:blipFill>
                    <a:blip r:embed="rId9"/>
                    <a:stretch>
                      <a:fillRect/>
                    </a:stretch>
                  </pic:blipFill>
                  <pic:spPr>
                    <a:xfrm>
                      <a:off x="0" y="0"/>
                      <a:ext cx="6738511" cy="788542"/>
                    </a:xfrm>
                    <a:prstGeom prst="rect">
                      <a:avLst/>
                    </a:prstGeom>
                  </pic:spPr>
                </pic:pic>
              </a:graphicData>
            </a:graphic>
          </wp:inline>
        </w:drawing>
      </w:r>
    </w:p>
    <w:p w14:paraId="60401D9E" w14:textId="01437E07" w:rsidR="00F64480" w:rsidRPr="00456D6E" w:rsidRDefault="00F64480" w:rsidP="00F64480">
      <w:pPr>
        <w:rPr>
          <w:rFonts w:ascii="Times New Roman" w:eastAsia="Calibri" w:hAnsi="Times New Roman" w:cs="Times New Roman"/>
          <w:sz w:val="24"/>
          <w:szCs w:val="24"/>
        </w:rPr>
      </w:pPr>
      <w:r w:rsidRPr="00456D6E">
        <w:rPr>
          <w:rFonts w:ascii="Times New Roman" w:eastAsia="Calibri" w:hAnsi="Times New Roman" w:cs="Times New Roman"/>
          <w:sz w:val="24"/>
          <w:szCs w:val="24"/>
        </w:rPr>
        <w:t>Tabel Strategia de tarifare actualizată 2023</w:t>
      </w:r>
    </w:p>
    <w:p w14:paraId="15467251" w14:textId="5E4595C0" w:rsidR="00F64480" w:rsidRPr="00BA60A2" w:rsidRDefault="00F64480" w:rsidP="00F64480">
      <w:pPr>
        <w:rPr>
          <w:rFonts w:ascii="Times New Roman" w:eastAsia="Calibri" w:hAnsi="Times New Roman" w:cs="Times New Roman"/>
          <w:color w:val="FF0000"/>
          <w:sz w:val="24"/>
          <w:szCs w:val="24"/>
        </w:rPr>
      </w:pPr>
      <w:r w:rsidRPr="00BA60A2">
        <w:rPr>
          <w:rFonts w:ascii="Times New Roman" w:eastAsia="Calibri" w:hAnsi="Times New Roman" w:cs="Times New Roman"/>
          <w:noProof/>
          <w:color w:val="FF0000"/>
          <w:sz w:val="24"/>
          <w:szCs w:val="24"/>
        </w:rPr>
        <w:drawing>
          <wp:inline distT="0" distB="0" distL="0" distR="0" wp14:anchorId="7B09BE6F" wp14:editId="73253F68">
            <wp:extent cx="6724650" cy="940435"/>
            <wp:effectExtent l="0" t="0" r="0" b="0"/>
            <wp:docPr id="27808" name="Picture 27808"/>
            <wp:cNvGraphicFramePr/>
            <a:graphic xmlns:a="http://schemas.openxmlformats.org/drawingml/2006/main">
              <a:graphicData uri="http://schemas.openxmlformats.org/drawingml/2006/picture">
                <pic:pic xmlns:pic="http://schemas.openxmlformats.org/drawingml/2006/picture">
                  <pic:nvPicPr>
                    <pic:cNvPr id="27808" name="Picture 27808"/>
                    <pic:cNvPicPr/>
                  </pic:nvPicPr>
                  <pic:blipFill>
                    <a:blip r:embed="rId10"/>
                    <a:stretch>
                      <a:fillRect/>
                    </a:stretch>
                  </pic:blipFill>
                  <pic:spPr>
                    <a:xfrm>
                      <a:off x="0" y="0"/>
                      <a:ext cx="6728983" cy="941041"/>
                    </a:xfrm>
                    <a:prstGeom prst="rect">
                      <a:avLst/>
                    </a:prstGeom>
                  </pic:spPr>
                </pic:pic>
              </a:graphicData>
            </a:graphic>
          </wp:inline>
        </w:drawing>
      </w:r>
    </w:p>
    <w:p w14:paraId="36894882" w14:textId="77777777" w:rsidR="00456D6E" w:rsidRPr="00456D6E" w:rsidRDefault="00F64480" w:rsidP="009A0273">
      <w:pPr>
        <w:pStyle w:val="NoSpacing"/>
        <w:ind w:firstLine="706"/>
        <w:jc w:val="both"/>
        <w:rPr>
          <w:rFonts w:eastAsia="Calibri"/>
        </w:rPr>
      </w:pPr>
      <w:r w:rsidRPr="00456D6E">
        <w:rPr>
          <w:rFonts w:eastAsia="Calibri"/>
        </w:rPr>
        <w:t xml:space="preserve">Strategia de tarifare actualizată, modifică creșterea în termeni reali prevăzută pentru anul 2024 de la 17,3% la 0%, respectiv creșterea inflației este prevăzută începând cu 1 noiembrie 2024. În rest, conținutul Planului anual de evoluție a tarifelor aprobat și inclus în Contractul de delegare rămânând nemodificat, inclusiv formula de ajustare avizată de A.N.R.S.C. prin Decizia nr. 718179/17.12.2019 și reconfirmată prin </w:t>
      </w:r>
      <w:r w:rsidRPr="00456D6E">
        <w:rPr>
          <w:rFonts w:eastAsia="Calibri"/>
          <w:noProof/>
        </w:rPr>
        <w:drawing>
          <wp:inline distT="0" distB="0" distL="0" distR="0" wp14:anchorId="2AF04230" wp14:editId="5E27FC49">
            <wp:extent cx="4574" cy="4574"/>
            <wp:effectExtent l="0" t="0" r="0" b="0"/>
            <wp:docPr id="16709" name="Picture 16709"/>
            <wp:cNvGraphicFramePr/>
            <a:graphic xmlns:a="http://schemas.openxmlformats.org/drawingml/2006/main">
              <a:graphicData uri="http://schemas.openxmlformats.org/drawingml/2006/picture">
                <pic:pic xmlns:pic="http://schemas.openxmlformats.org/drawingml/2006/picture">
                  <pic:nvPicPr>
                    <pic:cNvPr id="16709" name="Picture 16709"/>
                    <pic:cNvPicPr/>
                  </pic:nvPicPr>
                  <pic:blipFill>
                    <a:blip r:embed="rId11"/>
                    <a:stretch>
                      <a:fillRect/>
                    </a:stretch>
                  </pic:blipFill>
                  <pic:spPr>
                    <a:xfrm>
                      <a:off x="0" y="0"/>
                      <a:ext cx="4574" cy="4574"/>
                    </a:xfrm>
                    <a:prstGeom prst="rect">
                      <a:avLst/>
                    </a:prstGeom>
                  </pic:spPr>
                </pic:pic>
              </a:graphicData>
            </a:graphic>
          </wp:inline>
        </w:drawing>
      </w:r>
      <w:r w:rsidRPr="00456D6E">
        <w:rPr>
          <w:rFonts w:eastAsia="Calibri"/>
        </w:rPr>
        <w:t>avizul A.N.R.S.C. nr. 962403 din 23.08.2022 și avizul A.N.R.S.C. nr. 986517/06.12.2023.</w:t>
      </w:r>
      <w:r w:rsidRPr="00456D6E">
        <w:rPr>
          <w:rFonts w:eastAsia="Calibri"/>
          <w:noProof/>
        </w:rPr>
        <w:drawing>
          <wp:inline distT="0" distB="0" distL="0" distR="0" wp14:anchorId="3F0655FC" wp14:editId="711D79BD">
            <wp:extent cx="4574" cy="9148"/>
            <wp:effectExtent l="0" t="0" r="0" b="0"/>
            <wp:docPr id="16710" name="Picture 16710"/>
            <wp:cNvGraphicFramePr/>
            <a:graphic xmlns:a="http://schemas.openxmlformats.org/drawingml/2006/main">
              <a:graphicData uri="http://schemas.openxmlformats.org/drawingml/2006/picture">
                <pic:pic xmlns:pic="http://schemas.openxmlformats.org/drawingml/2006/picture">
                  <pic:nvPicPr>
                    <pic:cNvPr id="16710" name="Picture 16710"/>
                    <pic:cNvPicPr/>
                  </pic:nvPicPr>
                  <pic:blipFill>
                    <a:blip r:embed="rId12"/>
                    <a:stretch>
                      <a:fillRect/>
                    </a:stretch>
                  </pic:blipFill>
                  <pic:spPr>
                    <a:xfrm>
                      <a:off x="0" y="0"/>
                      <a:ext cx="4574" cy="9148"/>
                    </a:xfrm>
                    <a:prstGeom prst="rect">
                      <a:avLst/>
                    </a:prstGeom>
                  </pic:spPr>
                </pic:pic>
              </a:graphicData>
            </a:graphic>
          </wp:inline>
        </w:drawing>
      </w:r>
      <w:r w:rsidRPr="00456D6E">
        <w:rPr>
          <w:rFonts w:eastAsia="Calibri"/>
        </w:rPr>
        <w:t xml:space="preserve">  </w:t>
      </w:r>
    </w:p>
    <w:p w14:paraId="598D7130" w14:textId="05555ACE" w:rsidR="00F64480" w:rsidRPr="00456D6E" w:rsidRDefault="00F64480" w:rsidP="009A0273">
      <w:pPr>
        <w:pStyle w:val="NoSpacing"/>
        <w:ind w:firstLine="706"/>
        <w:jc w:val="both"/>
        <w:rPr>
          <w:rFonts w:eastAsia="Calibri"/>
        </w:rPr>
      </w:pPr>
      <w:r w:rsidRPr="00456D6E">
        <w:rPr>
          <w:rFonts w:eastAsia="Calibri"/>
        </w:rPr>
        <w:t xml:space="preserve">În anul 2022 a fost necesară actualizarea Strategiei tarifare pentru a ține cont de impactul prețului energiei electrice la nivelul Apaserv Satu Mare S.A., prețul energiei electrice luate în calcul fiind cel </w:t>
      </w:r>
      <w:r w:rsidRPr="00456D6E">
        <w:rPr>
          <w:rFonts w:eastAsia="Calibri"/>
          <w:noProof/>
        </w:rPr>
        <w:drawing>
          <wp:inline distT="0" distB="0" distL="0" distR="0" wp14:anchorId="12D435A8" wp14:editId="721B3A61">
            <wp:extent cx="4573" cy="4574"/>
            <wp:effectExtent l="0" t="0" r="0" b="0"/>
            <wp:docPr id="16712" name="Picture 16712"/>
            <wp:cNvGraphicFramePr/>
            <a:graphic xmlns:a="http://schemas.openxmlformats.org/drawingml/2006/main">
              <a:graphicData uri="http://schemas.openxmlformats.org/drawingml/2006/picture">
                <pic:pic xmlns:pic="http://schemas.openxmlformats.org/drawingml/2006/picture">
                  <pic:nvPicPr>
                    <pic:cNvPr id="16712" name="Picture 16712"/>
                    <pic:cNvPicPr/>
                  </pic:nvPicPr>
                  <pic:blipFill>
                    <a:blip r:embed="rId13"/>
                    <a:stretch>
                      <a:fillRect/>
                    </a:stretch>
                  </pic:blipFill>
                  <pic:spPr>
                    <a:xfrm>
                      <a:off x="0" y="0"/>
                      <a:ext cx="4573" cy="4574"/>
                    </a:xfrm>
                    <a:prstGeom prst="rect">
                      <a:avLst/>
                    </a:prstGeom>
                  </pic:spPr>
                </pic:pic>
              </a:graphicData>
            </a:graphic>
          </wp:inline>
        </w:drawing>
      </w:r>
      <w:r w:rsidRPr="00456D6E">
        <w:rPr>
          <w:rFonts w:eastAsia="Calibri"/>
        </w:rPr>
        <w:t xml:space="preserve">plafonat. Propunerea de modificare a planului anual de evoluție a tarifelor la apă și canalizare în perioada 2020-2024 a fost avizată favorabil de către AM POIM prin adresa 86852/16.08.2022 în condițiile obținerii </w:t>
      </w:r>
      <w:r w:rsidRPr="00456D6E">
        <w:rPr>
          <w:rFonts w:eastAsia="Calibri"/>
          <w:noProof/>
        </w:rPr>
        <w:drawing>
          <wp:inline distT="0" distB="0" distL="0" distR="0" wp14:anchorId="199B9EF7" wp14:editId="022E29CC">
            <wp:extent cx="4573" cy="4574"/>
            <wp:effectExtent l="0" t="0" r="0" b="0"/>
            <wp:docPr id="16713" name="Picture 16713"/>
            <wp:cNvGraphicFramePr/>
            <a:graphic xmlns:a="http://schemas.openxmlformats.org/drawingml/2006/main">
              <a:graphicData uri="http://schemas.openxmlformats.org/drawingml/2006/picture">
                <pic:pic xmlns:pic="http://schemas.openxmlformats.org/drawingml/2006/picture">
                  <pic:nvPicPr>
                    <pic:cNvPr id="16713" name="Picture 16713"/>
                    <pic:cNvPicPr/>
                  </pic:nvPicPr>
                  <pic:blipFill>
                    <a:blip r:embed="rId14"/>
                    <a:stretch>
                      <a:fillRect/>
                    </a:stretch>
                  </pic:blipFill>
                  <pic:spPr>
                    <a:xfrm>
                      <a:off x="0" y="0"/>
                      <a:ext cx="4573" cy="4574"/>
                    </a:xfrm>
                    <a:prstGeom prst="rect">
                      <a:avLst/>
                    </a:prstGeom>
                  </pic:spPr>
                </pic:pic>
              </a:graphicData>
            </a:graphic>
          </wp:inline>
        </w:drawing>
      </w:r>
      <w:r w:rsidRPr="00456D6E">
        <w:rPr>
          <w:rFonts w:eastAsia="Calibri"/>
        </w:rPr>
        <w:t xml:space="preserve">avizului ANRSC. Prin adresa nr 962403 din data 23.08.2022, ANRSC a avizat formula de ajustare a </w:t>
      </w:r>
      <w:r w:rsidRPr="00456D6E">
        <w:rPr>
          <w:rFonts w:eastAsia="Calibri"/>
          <w:noProof/>
        </w:rPr>
        <w:drawing>
          <wp:inline distT="0" distB="0" distL="0" distR="0" wp14:anchorId="40063633" wp14:editId="495A1A1F">
            <wp:extent cx="4574" cy="4574"/>
            <wp:effectExtent l="0" t="0" r="0" b="0"/>
            <wp:docPr id="16714" name="Picture 16714"/>
            <wp:cNvGraphicFramePr/>
            <a:graphic xmlns:a="http://schemas.openxmlformats.org/drawingml/2006/main">
              <a:graphicData uri="http://schemas.openxmlformats.org/drawingml/2006/picture">
                <pic:pic xmlns:pic="http://schemas.openxmlformats.org/drawingml/2006/picture">
                  <pic:nvPicPr>
                    <pic:cNvPr id="16714" name="Picture 16714"/>
                    <pic:cNvPicPr/>
                  </pic:nvPicPr>
                  <pic:blipFill>
                    <a:blip r:embed="rId15"/>
                    <a:stretch>
                      <a:fillRect/>
                    </a:stretch>
                  </pic:blipFill>
                  <pic:spPr>
                    <a:xfrm>
                      <a:off x="0" y="0"/>
                      <a:ext cx="4574" cy="4574"/>
                    </a:xfrm>
                    <a:prstGeom prst="rect">
                      <a:avLst/>
                    </a:prstGeom>
                  </pic:spPr>
                </pic:pic>
              </a:graphicData>
            </a:graphic>
          </wp:inline>
        </w:drawing>
      </w:r>
      <w:r w:rsidRPr="00456D6E">
        <w:rPr>
          <w:rFonts w:eastAsia="Calibri"/>
        </w:rPr>
        <w:t>prețului/tarifului și tarifelor pentru serviciile publice de alimentare cu apă și de canalizare.</w:t>
      </w:r>
    </w:p>
    <w:p w14:paraId="384CA90B" w14:textId="45FB53DE" w:rsidR="00F2130E" w:rsidRPr="00456D6E" w:rsidRDefault="000315A4" w:rsidP="00F2130E">
      <w:pPr>
        <w:pStyle w:val="NoSpacing"/>
        <w:ind w:firstLine="567"/>
        <w:jc w:val="both"/>
        <w:rPr>
          <w:rFonts w:eastAsia="Calibri"/>
        </w:rPr>
      </w:pPr>
      <w:r w:rsidRPr="00456D6E">
        <w:rPr>
          <w:rFonts w:eastAsia="Calibri"/>
        </w:rPr>
        <w:t xml:space="preserve">  </w:t>
      </w:r>
      <w:r w:rsidR="00F64480" w:rsidRPr="00456D6E">
        <w:rPr>
          <w:rFonts w:eastAsia="Calibri"/>
        </w:rPr>
        <w:t xml:space="preserve">Criza energetică și prețurile crescute la electricitate au relevat nevoia unei reforme a pieței energiei din </w:t>
      </w:r>
      <w:r w:rsidR="00F64480" w:rsidRPr="00456D6E">
        <w:rPr>
          <w:rFonts w:eastAsia="Calibri"/>
          <w:noProof/>
        </w:rPr>
        <w:drawing>
          <wp:inline distT="0" distB="0" distL="0" distR="0" wp14:anchorId="20A8EEB5" wp14:editId="0BDA4842">
            <wp:extent cx="4573" cy="4574"/>
            <wp:effectExtent l="0" t="0" r="0" b="0"/>
            <wp:docPr id="16715" name="Picture 16715"/>
            <wp:cNvGraphicFramePr/>
            <a:graphic xmlns:a="http://schemas.openxmlformats.org/drawingml/2006/main">
              <a:graphicData uri="http://schemas.openxmlformats.org/drawingml/2006/picture">
                <pic:pic xmlns:pic="http://schemas.openxmlformats.org/drawingml/2006/picture">
                  <pic:nvPicPr>
                    <pic:cNvPr id="16715" name="Picture 16715"/>
                    <pic:cNvPicPr/>
                  </pic:nvPicPr>
                  <pic:blipFill>
                    <a:blip r:embed="rId16"/>
                    <a:stretch>
                      <a:fillRect/>
                    </a:stretch>
                  </pic:blipFill>
                  <pic:spPr>
                    <a:xfrm>
                      <a:off x="0" y="0"/>
                      <a:ext cx="4573" cy="4574"/>
                    </a:xfrm>
                    <a:prstGeom prst="rect">
                      <a:avLst/>
                    </a:prstGeom>
                  </pic:spPr>
                </pic:pic>
              </a:graphicData>
            </a:graphic>
          </wp:inline>
        </w:drawing>
      </w:r>
      <w:r w:rsidR="00F64480" w:rsidRPr="00456D6E">
        <w:rPr>
          <w:rFonts w:eastAsia="Calibri"/>
        </w:rPr>
        <w:t>Uniunea European</w:t>
      </w:r>
      <w:r w:rsidR="004F7B86" w:rsidRPr="00456D6E">
        <w:rPr>
          <w:rFonts w:eastAsia="Calibri"/>
        </w:rPr>
        <w:t>ă</w:t>
      </w:r>
      <w:r w:rsidR="00F64480" w:rsidRPr="00456D6E">
        <w:rPr>
          <w:rFonts w:eastAsia="Calibri"/>
        </w:rPr>
        <w:t xml:space="preserve">. Astfel, Comisia Europeană și statele membre au luat măsuri pentru diminuarea impactului creșterii prețurilor la energie, pentru a asigura tranziția la energie sustenabilă și a reduce </w:t>
      </w:r>
      <w:r w:rsidR="00F64480" w:rsidRPr="00456D6E">
        <w:rPr>
          <w:rFonts w:eastAsia="Calibri"/>
          <w:noProof/>
        </w:rPr>
        <w:drawing>
          <wp:inline distT="0" distB="0" distL="0" distR="0" wp14:anchorId="5012CFC9" wp14:editId="7CBA3A9E">
            <wp:extent cx="4573" cy="59459"/>
            <wp:effectExtent l="0" t="0" r="0" b="0"/>
            <wp:docPr id="27810" name="Picture 27810"/>
            <wp:cNvGraphicFramePr/>
            <a:graphic xmlns:a="http://schemas.openxmlformats.org/drawingml/2006/main">
              <a:graphicData uri="http://schemas.openxmlformats.org/drawingml/2006/picture">
                <pic:pic xmlns:pic="http://schemas.openxmlformats.org/drawingml/2006/picture">
                  <pic:nvPicPr>
                    <pic:cNvPr id="27810" name="Picture 27810"/>
                    <pic:cNvPicPr/>
                  </pic:nvPicPr>
                  <pic:blipFill>
                    <a:blip r:embed="rId17"/>
                    <a:stretch>
                      <a:fillRect/>
                    </a:stretch>
                  </pic:blipFill>
                  <pic:spPr>
                    <a:xfrm>
                      <a:off x="0" y="0"/>
                      <a:ext cx="4573" cy="59459"/>
                    </a:xfrm>
                    <a:prstGeom prst="rect">
                      <a:avLst/>
                    </a:prstGeom>
                  </pic:spPr>
                </pic:pic>
              </a:graphicData>
            </a:graphic>
          </wp:inline>
        </w:drawing>
      </w:r>
      <w:r w:rsidR="00F64480" w:rsidRPr="00456D6E">
        <w:rPr>
          <w:rFonts w:eastAsia="Calibri"/>
        </w:rPr>
        <w:t>dependența de surse de energie rusești.</w:t>
      </w:r>
      <w:r w:rsidR="00F64480" w:rsidRPr="00456D6E">
        <w:rPr>
          <w:rFonts w:eastAsia="Calibri"/>
          <w:noProof/>
        </w:rPr>
        <w:drawing>
          <wp:inline distT="0" distB="0" distL="0" distR="0" wp14:anchorId="0F67AF1F" wp14:editId="17B5E526">
            <wp:extent cx="4573" cy="4574"/>
            <wp:effectExtent l="0" t="0" r="0" b="0"/>
            <wp:docPr id="16718" name="Picture 16718"/>
            <wp:cNvGraphicFramePr/>
            <a:graphic xmlns:a="http://schemas.openxmlformats.org/drawingml/2006/main">
              <a:graphicData uri="http://schemas.openxmlformats.org/drawingml/2006/picture">
                <pic:pic xmlns:pic="http://schemas.openxmlformats.org/drawingml/2006/picture">
                  <pic:nvPicPr>
                    <pic:cNvPr id="16718" name="Picture 16718"/>
                    <pic:cNvPicPr/>
                  </pic:nvPicPr>
                  <pic:blipFill>
                    <a:blip r:embed="rId18"/>
                    <a:stretch>
                      <a:fillRect/>
                    </a:stretch>
                  </pic:blipFill>
                  <pic:spPr>
                    <a:xfrm>
                      <a:off x="0" y="0"/>
                      <a:ext cx="4573" cy="4574"/>
                    </a:xfrm>
                    <a:prstGeom prst="rect">
                      <a:avLst/>
                    </a:prstGeom>
                  </pic:spPr>
                </pic:pic>
              </a:graphicData>
            </a:graphic>
          </wp:inline>
        </w:drawing>
      </w:r>
      <w:r w:rsidR="00F2130E" w:rsidRPr="00456D6E">
        <w:rPr>
          <w:rFonts w:eastAsia="Calibri"/>
        </w:rPr>
        <w:t xml:space="preserve">  </w:t>
      </w:r>
    </w:p>
    <w:p w14:paraId="72B3A917" w14:textId="130ACD6A" w:rsidR="00F2130E" w:rsidRPr="00456D6E" w:rsidRDefault="00F2130E" w:rsidP="00F2130E">
      <w:pPr>
        <w:pStyle w:val="NoSpacing"/>
        <w:ind w:firstLine="567"/>
        <w:jc w:val="both"/>
        <w:rPr>
          <w:rFonts w:eastAsia="Calibri"/>
        </w:rPr>
      </w:pPr>
      <w:r w:rsidRPr="00456D6E">
        <w:rPr>
          <w:rFonts w:eastAsia="Calibri"/>
        </w:rPr>
        <w:t xml:space="preserve">   În acest nou context, a fost nevoie de o revizuire a strategiei de tarifare pentru asigurarea unui nivel adecvat al recuperării costurilor, asigurarea sustenabilității financiare a operatorului regional APASERV SATU MARE S.A., respectând în același timp condițiile de suportabilitate a populației.</w:t>
      </w:r>
    </w:p>
    <w:p w14:paraId="343630D9" w14:textId="20770F6F" w:rsidR="00251400" w:rsidRPr="00456D6E" w:rsidRDefault="004F7B86" w:rsidP="00AC2723">
      <w:pPr>
        <w:pStyle w:val="NoSpacing"/>
        <w:ind w:firstLine="426"/>
        <w:jc w:val="both"/>
        <w:rPr>
          <w:rFonts w:eastAsia="Calibri"/>
        </w:rPr>
      </w:pPr>
      <w:bookmarkStart w:id="1" w:name="_Hlk153790599"/>
      <w:r w:rsidRPr="00456D6E">
        <w:rPr>
          <w:rFonts w:eastAsia="Calibri"/>
        </w:rPr>
        <w:tab/>
      </w:r>
      <w:r w:rsidR="00F64480" w:rsidRPr="00456D6E">
        <w:rPr>
          <w:rFonts w:eastAsia="Calibri"/>
        </w:rPr>
        <w:t xml:space="preserve">Pentru a analiza impactul schimbărilor asupra strategiei de tarifare, a fost realizată analiza evoluției </w:t>
      </w:r>
      <w:r w:rsidR="00F64480" w:rsidRPr="00456D6E">
        <w:rPr>
          <w:rFonts w:eastAsia="Calibri"/>
          <w:noProof/>
        </w:rPr>
        <w:drawing>
          <wp:inline distT="0" distB="0" distL="0" distR="0" wp14:anchorId="1D442BD0" wp14:editId="5B518A2D">
            <wp:extent cx="4574" cy="4574"/>
            <wp:effectExtent l="0" t="0" r="0" b="0"/>
            <wp:docPr id="16719" name="Picture 16719"/>
            <wp:cNvGraphicFramePr/>
            <a:graphic xmlns:a="http://schemas.openxmlformats.org/drawingml/2006/main">
              <a:graphicData uri="http://schemas.openxmlformats.org/drawingml/2006/picture">
                <pic:pic xmlns:pic="http://schemas.openxmlformats.org/drawingml/2006/picture">
                  <pic:nvPicPr>
                    <pic:cNvPr id="16719" name="Picture 16719"/>
                    <pic:cNvPicPr/>
                  </pic:nvPicPr>
                  <pic:blipFill>
                    <a:blip r:embed="rId19"/>
                    <a:stretch>
                      <a:fillRect/>
                    </a:stretch>
                  </pic:blipFill>
                  <pic:spPr>
                    <a:xfrm>
                      <a:off x="0" y="0"/>
                      <a:ext cx="4574" cy="4574"/>
                    </a:xfrm>
                    <a:prstGeom prst="rect">
                      <a:avLst/>
                    </a:prstGeom>
                  </pic:spPr>
                </pic:pic>
              </a:graphicData>
            </a:graphic>
          </wp:inline>
        </w:drawing>
      </w:r>
      <w:r w:rsidR="00F64480" w:rsidRPr="00456D6E">
        <w:rPr>
          <w:rFonts w:eastAsia="Calibri"/>
        </w:rPr>
        <w:t>prețului energiei electrice, precum și actualizarea Analizei Cost Beneficiu și a Strategiei de tarifare ca urmare a</w:t>
      </w:r>
      <w:r w:rsidR="00F2130E" w:rsidRPr="00456D6E">
        <w:t xml:space="preserve"> </w:t>
      </w:r>
      <w:r w:rsidR="00967AAD" w:rsidRPr="00456D6E">
        <w:t>impactului măsurilor la nivelul pieței energiei pentru diminuarea efectelor generate de criză</w:t>
      </w:r>
      <w:r w:rsidR="00967AAD" w:rsidRPr="00456D6E">
        <w:rPr>
          <w:rFonts w:eastAsia="Calibri"/>
        </w:rPr>
        <w:t xml:space="preserve"> </w:t>
      </w:r>
      <w:r w:rsidR="00F64480" w:rsidRPr="00456D6E">
        <w:rPr>
          <w:rFonts w:eastAsia="Calibri"/>
        </w:rPr>
        <w:t>.</w:t>
      </w:r>
      <w:bookmarkEnd w:id="1"/>
    </w:p>
    <w:p w14:paraId="195933B3" w14:textId="728B5A2B" w:rsidR="00F2130E" w:rsidRDefault="000315A4" w:rsidP="00AC2723">
      <w:pPr>
        <w:ind w:firstLine="426"/>
        <w:jc w:val="both"/>
        <w:rPr>
          <w:rFonts w:ascii="Times New Roman" w:eastAsia="Calibri" w:hAnsi="Times New Roman" w:cs="Times New Roman"/>
          <w:sz w:val="24"/>
          <w:szCs w:val="24"/>
        </w:rPr>
      </w:pPr>
      <w:r w:rsidRPr="00456D6E">
        <w:rPr>
          <w:rFonts w:ascii="Times New Roman" w:eastAsia="Calibri" w:hAnsi="Times New Roman" w:cs="Times New Roman"/>
          <w:sz w:val="24"/>
          <w:szCs w:val="24"/>
        </w:rPr>
        <w:t xml:space="preserve">     </w:t>
      </w:r>
      <w:r w:rsidR="00251400" w:rsidRPr="00456D6E">
        <w:rPr>
          <w:rFonts w:ascii="Times New Roman" w:eastAsia="Calibri" w:hAnsi="Times New Roman" w:cs="Times New Roman"/>
          <w:sz w:val="24"/>
          <w:szCs w:val="24"/>
        </w:rPr>
        <w:t xml:space="preserve">Tarifele propuse pentru scenariul </w:t>
      </w:r>
      <w:r w:rsidR="00251400" w:rsidRPr="00456D6E">
        <w:rPr>
          <w:rFonts w:ascii="Times New Roman" w:eastAsia="Calibri" w:hAnsi="Times New Roman" w:cs="Times New Roman"/>
          <w:sz w:val="24"/>
          <w:szCs w:val="24"/>
          <w:vertAlign w:val="superscript"/>
        </w:rPr>
        <w:t>u</w:t>
      </w:r>
      <w:r w:rsidR="00251400" w:rsidRPr="00456D6E">
        <w:rPr>
          <w:rFonts w:ascii="Times New Roman" w:eastAsia="Calibri" w:hAnsi="Times New Roman" w:cs="Times New Roman"/>
          <w:sz w:val="24"/>
          <w:szCs w:val="24"/>
        </w:rPr>
        <w:t>cu Proiect” respectă cerința referitoare la acoperirea costurilor de operare și a amortizării.</w:t>
      </w:r>
    </w:p>
    <w:p w14:paraId="3F03D615" w14:textId="77777777" w:rsidR="009334E4" w:rsidRDefault="009334E4" w:rsidP="009334E4">
      <w:pPr>
        <w:spacing w:after="0" w:line="240" w:lineRule="auto"/>
        <w:ind w:firstLine="706"/>
        <w:jc w:val="both"/>
        <w:rPr>
          <w:rFonts w:ascii="Times New Roman" w:eastAsia="Times New Roman" w:hAnsi="Times New Roman" w:cs="Times New Roman"/>
          <w:bCs/>
          <w:color w:val="000000" w:themeColor="text1"/>
          <w:sz w:val="24"/>
          <w:szCs w:val="24"/>
          <w:bdr w:val="none" w:sz="0" w:space="0" w:color="auto" w:frame="1"/>
          <w:lang w:val="en-US"/>
        </w:rPr>
      </w:pPr>
      <w:r>
        <w:rPr>
          <w:rFonts w:ascii="Times New Roman" w:hAnsi="Times New Roman" w:cs="Times New Roman"/>
          <w:color w:val="000000" w:themeColor="text1"/>
          <w:sz w:val="24"/>
          <w:szCs w:val="24"/>
        </w:rPr>
        <w:t xml:space="preserve">  </w:t>
      </w:r>
      <w:r w:rsidRPr="0009558F">
        <w:rPr>
          <w:rFonts w:ascii="Times New Roman" w:hAnsi="Times New Roman" w:cs="Times New Roman"/>
          <w:color w:val="000000" w:themeColor="text1"/>
          <w:sz w:val="24"/>
          <w:szCs w:val="24"/>
        </w:rPr>
        <w:t xml:space="preserve">Ținând seama de documentele transmise de </w:t>
      </w:r>
      <w:r>
        <w:rPr>
          <w:rFonts w:ascii="Times New Roman" w:hAnsi="Times New Roman" w:cs="Times New Roman"/>
          <w:color w:val="000000" w:themeColor="text1"/>
          <w:sz w:val="24"/>
          <w:szCs w:val="24"/>
        </w:rPr>
        <w:t>APASERV SATU MARE S.A,</w:t>
      </w:r>
      <w:r w:rsidRPr="0009558F">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prin </w:t>
      </w:r>
      <w:r w:rsidRPr="0009558F">
        <w:rPr>
          <w:rFonts w:ascii="Times New Roman" w:eastAsia="Calibri" w:hAnsi="Times New Roman" w:cs="Times New Roman"/>
          <w:bCs/>
          <w:color w:val="000000" w:themeColor="text1"/>
          <w:sz w:val="24"/>
          <w:szCs w:val="24"/>
        </w:rPr>
        <w:t>Adres</w:t>
      </w:r>
      <w:r>
        <w:rPr>
          <w:rFonts w:ascii="Times New Roman" w:eastAsia="Calibri" w:hAnsi="Times New Roman" w:cs="Times New Roman"/>
          <w:bCs/>
          <w:color w:val="000000" w:themeColor="text1"/>
          <w:sz w:val="24"/>
          <w:szCs w:val="24"/>
        </w:rPr>
        <w:t xml:space="preserve">a nr. </w:t>
      </w:r>
      <w:r w:rsidRPr="00BC4F02">
        <w:rPr>
          <w:rFonts w:ascii="Times New Roman" w:eastAsia="Calibri" w:hAnsi="Times New Roman" w:cs="Times New Roman"/>
          <w:bCs/>
          <w:sz w:val="24"/>
          <w:szCs w:val="24"/>
        </w:rPr>
        <w:t>22760/20.12.2023,</w:t>
      </w:r>
      <w:r w:rsidRPr="00BC4F02">
        <w:rPr>
          <w:rFonts w:ascii="Times New Roman" w:eastAsia="Times New Roman" w:hAnsi="Times New Roman" w:cs="Times New Roman"/>
          <w:bCs/>
          <w:sz w:val="24"/>
          <w:szCs w:val="24"/>
          <w:bdr w:val="none" w:sz="0" w:space="0" w:color="auto" w:frame="1"/>
        </w:rPr>
        <w:t xml:space="preserve"> înregistrata la registratura Consiliului Județean Satu Mare cu nr. 27954/20.12.2023, </w:t>
      </w:r>
      <w:r>
        <w:rPr>
          <w:rFonts w:ascii="Times New Roman" w:eastAsia="Times New Roman" w:hAnsi="Times New Roman" w:cs="Times New Roman"/>
          <w:bCs/>
          <w:color w:val="000000" w:themeColor="text1"/>
          <w:sz w:val="24"/>
          <w:szCs w:val="24"/>
          <w:bdr w:val="none" w:sz="0" w:space="0" w:color="auto" w:frame="1"/>
        </w:rPr>
        <w:t>care însoțesc</w:t>
      </w:r>
      <w:r>
        <w:rPr>
          <w:rFonts w:ascii="Times New Roman" w:eastAsia="Times New Roman" w:hAnsi="Times New Roman" w:cs="Times New Roman"/>
          <w:bCs/>
          <w:color w:val="000000" w:themeColor="text1"/>
          <w:sz w:val="24"/>
          <w:szCs w:val="24"/>
          <w:bdr w:val="none" w:sz="0" w:space="0" w:color="auto" w:frame="1"/>
          <w:lang w:val="en-US"/>
        </w:rPr>
        <w:t>:</w:t>
      </w:r>
    </w:p>
    <w:p w14:paraId="1138B814" w14:textId="77777777" w:rsidR="009334E4" w:rsidRPr="00BC4F02" w:rsidRDefault="009334E4" w:rsidP="009334E4">
      <w:pPr>
        <w:spacing w:after="0" w:line="240" w:lineRule="auto"/>
        <w:jc w:val="both"/>
        <w:rPr>
          <w:rFonts w:ascii="Times New Roman" w:hAnsi="Times New Roman" w:cs="Times New Roman"/>
          <w:sz w:val="24"/>
          <w:szCs w:val="24"/>
        </w:rPr>
      </w:pPr>
      <w:r>
        <w:rPr>
          <w:rFonts w:ascii="Times New Roman" w:eastAsia="Times New Roman" w:hAnsi="Times New Roman" w:cs="Times New Roman"/>
          <w:bCs/>
          <w:color w:val="000000" w:themeColor="text1"/>
          <w:sz w:val="24"/>
          <w:szCs w:val="24"/>
          <w:bdr w:val="none" w:sz="0" w:space="0" w:color="auto" w:frame="1"/>
          <w:lang w:val="en-US"/>
        </w:rPr>
        <w:t xml:space="preserve">             - Nota de </w:t>
      </w:r>
      <w:proofErr w:type="spellStart"/>
      <w:r>
        <w:rPr>
          <w:rFonts w:ascii="Times New Roman" w:eastAsia="Times New Roman" w:hAnsi="Times New Roman" w:cs="Times New Roman"/>
          <w:bCs/>
          <w:color w:val="000000" w:themeColor="text1"/>
          <w:sz w:val="24"/>
          <w:szCs w:val="24"/>
          <w:bdr w:val="none" w:sz="0" w:space="0" w:color="auto" w:frame="1"/>
          <w:lang w:val="en-US"/>
        </w:rPr>
        <w:t>fundamentare</w:t>
      </w:r>
      <w:proofErr w:type="spellEnd"/>
      <w:r>
        <w:rPr>
          <w:rFonts w:ascii="Times New Roman" w:eastAsia="Times New Roman" w:hAnsi="Times New Roman" w:cs="Times New Roman"/>
          <w:bCs/>
          <w:color w:val="000000" w:themeColor="text1"/>
          <w:sz w:val="24"/>
          <w:szCs w:val="24"/>
          <w:bdr w:val="none" w:sz="0" w:space="0" w:color="auto" w:frame="1"/>
          <w:lang w:val="en-US"/>
        </w:rPr>
        <w:t xml:space="preserve"> Nr.22749/20.12.2023</w:t>
      </w:r>
      <w:r>
        <w:rPr>
          <w:rFonts w:ascii="Times New Roman" w:eastAsia="Times New Roman" w:hAnsi="Times New Roman" w:cs="Times New Roman"/>
          <w:bCs/>
          <w:color w:val="000000" w:themeColor="text1"/>
          <w:sz w:val="24"/>
          <w:szCs w:val="24"/>
          <w:bdr w:val="none" w:sz="0" w:space="0" w:color="auto" w:frame="1"/>
        </w:rPr>
        <w:t xml:space="preserve"> </w:t>
      </w:r>
      <w:r w:rsidRPr="00BC4F02">
        <w:rPr>
          <w:rFonts w:ascii="Times New Roman" w:hAnsi="Times New Roman" w:cs="Times New Roman"/>
          <w:sz w:val="24"/>
          <w:szCs w:val="24"/>
        </w:rPr>
        <w:t xml:space="preserve">privind aprobarea modificării strategiei de tarifare prin Planul anual de evoluție a tarifelor, conform rezultatelor Analizei Cost-Beneficiu pentru “Proiectul regional de dezvoltare a infrastructurii de apă și apă uzată din județul Satu Mare/Regiunea Nord-Vest, în perioada 2014-2020”, cod SMIS 123241 și aprobarea Actelor adiționale 13 și 14 la Contractul de delegare al gestiunii serviciilor publice de alimentare cu apă </w:t>
      </w:r>
      <w:proofErr w:type="spellStart"/>
      <w:r w:rsidRPr="00BC4F02">
        <w:rPr>
          <w:rFonts w:ascii="Times New Roman" w:hAnsi="Times New Roman" w:cs="Times New Roman"/>
          <w:sz w:val="24"/>
          <w:szCs w:val="24"/>
        </w:rPr>
        <w:t>şi</w:t>
      </w:r>
      <w:proofErr w:type="spellEnd"/>
      <w:r w:rsidRPr="00BC4F02">
        <w:rPr>
          <w:rFonts w:ascii="Times New Roman" w:hAnsi="Times New Roman" w:cs="Times New Roman"/>
          <w:sz w:val="24"/>
          <w:szCs w:val="24"/>
        </w:rPr>
        <w:t xml:space="preserve"> de canalizare nr.12.313/19.11.2009</w:t>
      </w:r>
    </w:p>
    <w:p w14:paraId="47FA7F94" w14:textId="77777777" w:rsidR="009334E4" w:rsidRDefault="009334E4" w:rsidP="009334E4">
      <w:pPr>
        <w:spacing w:after="0" w:line="240" w:lineRule="auto"/>
        <w:ind w:firstLine="706"/>
        <w:jc w:val="both"/>
        <w:rPr>
          <w:rFonts w:ascii="Times New Roman" w:hAnsi="Times New Roman" w:cs="Times New Roman"/>
          <w:color w:val="000000" w:themeColor="text1"/>
          <w:sz w:val="24"/>
          <w:szCs w:val="24"/>
        </w:rPr>
      </w:pPr>
      <w:r w:rsidRPr="0009558F">
        <w:rPr>
          <w:rFonts w:ascii="Times New Roman" w:eastAsia="Times New Roman" w:hAnsi="Times New Roman" w:cs="Times New Roman"/>
          <w:bCs/>
          <w:color w:val="000000" w:themeColor="text1"/>
          <w:sz w:val="24"/>
          <w:szCs w:val="24"/>
          <w:bdr w:val="none" w:sz="0" w:space="0" w:color="auto" w:frame="1"/>
        </w:rPr>
        <w:t xml:space="preserve">  </w:t>
      </w:r>
      <w:r>
        <w:rPr>
          <w:rFonts w:ascii="Times New Roman" w:eastAsia="Times New Roman" w:hAnsi="Times New Roman" w:cs="Times New Roman"/>
          <w:bCs/>
          <w:color w:val="000000" w:themeColor="text1"/>
          <w:sz w:val="24"/>
          <w:szCs w:val="24"/>
          <w:bdr w:val="none" w:sz="0" w:space="0" w:color="auto" w:frame="1"/>
        </w:rPr>
        <w:t xml:space="preserve">- </w:t>
      </w:r>
      <w:r w:rsidRPr="00B0068E">
        <w:rPr>
          <w:rFonts w:ascii="Times New Roman" w:hAnsi="Times New Roman" w:cs="Times New Roman"/>
          <w:color w:val="000000" w:themeColor="text1"/>
          <w:sz w:val="24"/>
          <w:szCs w:val="24"/>
        </w:rPr>
        <w:t xml:space="preserve">Raportul </w:t>
      </w:r>
      <w:r>
        <w:rPr>
          <w:rFonts w:ascii="Times New Roman" w:hAnsi="Times New Roman" w:cs="Times New Roman"/>
          <w:color w:val="000000" w:themeColor="text1"/>
          <w:sz w:val="24"/>
          <w:szCs w:val="24"/>
        </w:rPr>
        <w:t xml:space="preserve">de specialitate </w:t>
      </w:r>
      <w:r w:rsidRPr="00B0068E">
        <w:rPr>
          <w:rFonts w:ascii="Times New Roman" w:hAnsi="Times New Roman" w:cs="Times New Roman"/>
          <w:color w:val="000000" w:themeColor="text1"/>
          <w:sz w:val="24"/>
          <w:szCs w:val="24"/>
        </w:rPr>
        <w:t xml:space="preserve">nr. 3276/27.02.2023 întocmit de </w:t>
      </w:r>
      <w:proofErr w:type="spellStart"/>
      <w:r w:rsidRPr="00B0068E">
        <w:rPr>
          <w:rFonts w:ascii="Times New Roman" w:hAnsi="Times New Roman" w:cs="Times New Roman"/>
          <w:color w:val="000000" w:themeColor="text1"/>
          <w:sz w:val="24"/>
          <w:szCs w:val="24"/>
        </w:rPr>
        <w:t>Apaserv</w:t>
      </w:r>
      <w:proofErr w:type="spellEnd"/>
      <w:r w:rsidRPr="00B0068E">
        <w:rPr>
          <w:rFonts w:ascii="Times New Roman" w:hAnsi="Times New Roman" w:cs="Times New Roman"/>
          <w:color w:val="000000" w:themeColor="text1"/>
          <w:sz w:val="24"/>
          <w:szCs w:val="24"/>
        </w:rPr>
        <w:t xml:space="preserve"> Satu Mare S.A</w:t>
      </w:r>
      <w:r>
        <w:rPr>
          <w:rFonts w:ascii="Times New Roman" w:hAnsi="Times New Roman" w:cs="Times New Roman"/>
          <w:color w:val="000000" w:themeColor="text1"/>
          <w:sz w:val="24"/>
          <w:szCs w:val="24"/>
        </w:rPr>
        <w:t>, privind aprobarea Actului adițional nr.13 la Contractul de delegare a gestiunii serviciilor publice de alimentare cu apă și de canalizare nr.12313/19.11.2009;</w:t>
      </w:r>
    </w:p>
    <w:p w14:paraId="6FFD1FF6" w14:textId="77777777" w:rsidR="009334E4" w:rsidRDefault="009334E4" w:rsidP="009334E4">
      <w:pPr>
        <w:spacing w:after="0" w:line="240" w:lineRule="auto"/>
        <w:ind w:firstLine="70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 </w:t>
      </w:r>
      <w:r w:rsidRPr="00B0068E">
        <w:rPr>
          <w:rFonts w:ascii="Times New Roman" w:hAnsi="Times New Roman" w:cs="Times New Roman"/>
          <w:color w:val="000000" w:themeColor="text1"/>
          <w:sz w:val="24"/>
          <w:szCs w:val="24"/>
        </w:rPr>
        <w:t xml:space="preserve">Raportul </w:t>
      </w:r>
      <w:r>
        <w:rPr>
          <w:rFonts w:ascii="Times New Roman" w:hAnsi="Times New Roman" w:cs="Times New Roman"/>
          <w:color w:val="000000" w:themeColor="text1"/>
          <w:sz w:val="24"/>
          <w:szCs w:val="24"/>
        </w:rPr>
        <w:t xml:space="preserve">de specialitate </w:t>
      </w:r>
      <w:r w:rsidRPr="00B0068E">
        <w:rPr>
          <w:rFonts w:ascii="Times New Roman" w:hAnsi="Times New Roman" w:cs="Times New Roman"/>
          <w:color w:val="000000" w:themeColor="text1"/>
          <w:sz w:val="24"/>
          <w:szCs w:val="24"/>
        </w:rPr>
        <w:t xml:space="preserve">nr. 21785/11.12.2023 întocmit de </w:t>
      </w:r>
      <w:proofErr w:type="spellStart"/>
      <w:r w:rsidRPr="00B0068E">
        <w:rPr>
          <w:rFonts w:ascii="Times New Roman" w:hAnsi="Times New Roman" w:cs="Times New Roman"/>
          <w:color w:val="000000" w:themeColor="text1"/>
          <w:sz w:val="24"/>
          <w:szCs w:val="24"/>
        </w:rPr>
        <w:t>Apaserv</w:t>
      </w:r>
      <w:proofErr w:type="spellEnd"/>
      <w:r w:rsidRPr="00B0068E">
        <w:rPr>
          <w:rFonts w:ascii="Times New Roman" w:hAnsi="Times New Roman" w:cs="Times New Roman"/>
          <w:color w:val="000000" w:themeColor="text1"/>
          <w:sz w:val="24"/>
          <w:szCs w:val="24"/>
        </w:rPr>
        <w:t xml:space="preserve"> Satu Mare S.A</w:t>
      </w:r>
      <w:r>
        <w:rPr>
          <w:rFonts w:ascii="Times New Roman" w:hAnsi="Times New Roman" w:cs="Times New Roman"/>
          <w:color w:val="000000" w:themeColor="text1"/>
          <w:sz w:val="24"/>
          <w:szCs w:val="24"/>
        </w:rPr>
        <w:t xml:space="preserve">, cu privire la modificarea Planului Anual de evoluție a tarifelor / strategiei tarifare și pentru aprobarea </w:t>
      </w:r>
      <w:r w:rsidRPr="0052525B">
        <w:rPr>
          <w:rFonts w:ascii="Times New Roman" w:hAnsi="Times New Roman" w:cs="Times New Roman"/>
          <w:sz w:val="24"/>
          <w:szCs w:val="24"/>
        </w:rPr>
        <w:t xml:space="preserve">actului adițional nr.14 </w:t>
      </w:r>
      <w:r>
        <w:rPr>
          <w:rFonts w:ascii="Times New Roman" w:hAnsi="Times New Roman" w:cs="Times New Roman"/>
          <w:color w:val="000000" w:themeColor="text1"/>
          <w:sz w:val="24"/>
          <w:szCs w:val="24"/>
        </w:rPr>
        <w:t>la contractul de delegare,</w:t>
      </w:r>
    </w:p>
    <w:p w14:paraId="5CC02058" w14:textId="77777777" w:rsidR="009334E4" w:rsidRDefault="009334E4" w:rsidP="009334E4">
      <w:pPr>
        <w:spacing w:after="0" w:line="240" w:lineRule="auto"/>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Hotărârea Nr. 11/2023  a Asociației de Dezvoltare Intercomunitară pentru Servicii în Sectorul de Apă și Apă Uzată din județul Satu Mare, privind aprobarea Actului adițional nr.13 la Contractul de delegare a gestiunii serviciilor publice de alimentare cu apă și de canalizare nr.12313/19.11.2009</w:t>
      </w:r>
      <w:r w:rsidRPr="0009558F">
        <w:rPr>
          <w:rFonts w:ascii="Times New Roman" w:hAnsi="Times New Roman" w:cs="Times New Roman"/>
          <w:color w:val="000000" w:themeColor="text1"/>
          <w:sz w:val="24"/>
          <w:szCs w:val="24"/>
        </w:rPr>
        <w:t>;</w:t>
      </w:r>
    </w:p>
    <w:p w14:paraId="51A5B319" w14:textId="61F37221" w:rsidR="009334E4" w:rsidRPr="00B0068E" w:rsidRDefault="009334E4" w:rsidP="009334E4">
      <w:pPr>
        <w:spacing w:after="0" w:line="240" w:lineRule="auto"/>
        <w:ind w:firstLine="720"/>
        <w:jc w:val="both"/>
        <w:rPr>
          <w:rFonts w:ascii="Times New Roman" w:hAnsi="Times New Roman" w:cs="Times New Roman"/>
          <w:color w:val="000000" w:themeColor="text1"/>
          <w:sz w:val="24"/>
          <w:szCs w:val="24"/>
        </w:rPr>
      </w:pPr>
      <w:r w:rsidRPr="00811E3B">
        <w:rPr>
          <w:rFonts w:ascii="Times New Roman" w:hAnsi="Times New Roman" w:cs="Times New Roman"/>
          <w:sz w:val="24"/>
          <w:szCs w:val="24"/>
        </w:rPr>
        <w:t xml:space="preserve">- Hotărârea Nr.14/2023  a Asociației de Dezvoltare Intercomunitară pentru Servicii în Sectorul de Apă și Apă Uzată din județul Satu Mare, privind aprobarea modificării Strategiei de tarifare conform rezultatelor </w:t>
      </w:r>
      <w:r w:rsidRPr="00A357B5">
        <w:rPr>
          <w:rFonts w:ascii="Times New Roman" w:hAnsi="Times New Roman" w:cs="Times New Roman"/>
          <w:sz w:val="24"/>
          <w:szCs w:val="24"/>
        </w:rPr>
        <w:t>Analizei Cost-Beneficiu pentru “Proiectul regional de dezvoltare a infrastructurii de apă și apă uzată din județul Satu Mare/Regiunea Nord-Vest, în perioada 2014-2020”, cod SMIS 123241</w:t>
      </w:r>
      <w:r w:rsidR="00AC2723">
        <w:rPr>
          <w:rFonts w:ascii="Times New Roman" w:hAnsi="Times New Roman" w:cs="Times New Roman"/>
          <w:color w:val="000000" w:themeColor="text1"/>
          <w:sz w:val="24"/>
          <w:szCs w:val="24"/>
        </w:rPr>
        <w:t>,</w:t>
      </w:r>
      <w:r w:rsidRPr="003F4BFB">
        <w:rPr>
          <w:rFonts w:ascii="Times New Roman" w:hAnsi="Times New Roman" w:cs="Times New Roman"/>
          <w:b/>
          <w:bCs/>
          <w:sz w:val="24"/>
          <w:szCs w:val="24"/>
        </w:rPr>
        <w:t xml:space="preserve"> </w:t>
      </w:r>
    </w:p>
    <w:p w14:paraId="5CD4ABD5" w14:textId="77777777" w:rsidR="009334E4" w:rsidRDefault="009334E4" w:rsidP="009334E4">
      <w:pPr>
        <w:spacing w:after="0" w:line="240" w:lineRule="auto"/>
        <w:ind w:firstLine="706"/>
        <w:jc w:val="both"/>
        <w:rPr>
          <w:rFonts w:ascii="Times New Roman" w:hAnsi="Times New Roman" w:cs="Times New Roman"/>
          <w:color w:val="000000" w:themeColor="text1"/>
          <w:sz w:val="24"/>
          <w:szCs w:val="24"/>
        </w:rPr>
      </w:pPr>
    </w:p>
    <w:p w14:paraId="65D0FDD7" w14:textId="77777777" w:rsidR="009334E4" w:rsidRPr="00044525" w:rsidRDefault="009334E4" w:rsidP="009334E4">
      <w:pPr>
        <w:spacing w:after="0" w:line="240" w:lineRule="auto"/>
        <w:ind w:firstLine="706"/>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rPr>
        <w:t xml:space="preserve">   luând în considerare</w:t>
      </w:r>
      <w:r>
        <w:rPr>
          <w:rFonts w:ascii="Times New Roman" w:hAnsi="Times New Roman" w:cs="Times New Roman"/>
          <w:color w:val="000000" w:themeColor="text1"/>
          <w:sz w:val="24"/>
          <w:szCs w:val="24"/>
          <w:lang w:val="en-US"/>
        </w:rPr>
        <w:t>:</w:t>
      </w:r>
    </w:p>
    <w:p w14:paraId="1DA71DCA" w14:textId="59660642" w:rsidR="009334E4" w:rsidRPr="0009558F" w:rsidRDefault="009334E4" w:rsidP="009334E4">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Pr="008B71C8">
        <w:rPr>
          <w:rFonts w:ascii="Times New Roman" w:hAnsi="Times New Roman" w:cs="Times New Roman"/>
          <w:color w:val="000000" w:themeColor="text1"/>
          <w:sz w:val="24"/>
          <w:szCs w:val="24"/>
        </w:rPr>
        <w:t>Avizul Autorității Naționale de Reglementare pentru Serviciile Comunitare de Utilități Publice nr. 986517/6.12.2023 și Avizul nr. 210254/7.12.2023 (AM POIM) al Direcției Generale Program Dezvoltare Durabilă din cadrul Ministerului Investițiilor și Proiectelor Europene privind modificarea Strategiei de tarifare</w:t>
      </w:r>
      <w:r w:rsidR="00AC2723">
        <w:rPr>
          <w:rFonts w:ascii="Times New Roman" w:hAnsi="Times New Roman" w:cs="Times New Roman"/>
          <w:color w:val="000000" w:themeColor="text1"/>
          <w:sz w:val="24"/>
          <w:szCs w:val="24"/>
        </w:rPr>
        <w:t>,</w:t>
      </w:r>
    </w:p>
    <w:p w14:paraId="2F2E8B73" w14:textId="77777777" w:rsidR="009334E4" w:rsidRDefault="009334E4" w:rsidP="009334E4">
      <w:pPr>
        <w:shd w:val="clear" w:color="auto" w:fill="FFFFFF"/>
        <w:spacing w:after="0" w:line="240" w:lineRule="auto"/>
        <w:ind w:firstLine="630"/>
        <w:jc w:val="both"/>
        <w:rPr>
          <w:rFonts w:ascii="Times New Roman" w:eastAsia="Times New Roman" w:hAnsi="Times New Roman" w:cs="Times New Roman"/>
          <w:color w:val="000000" w:themeColor="text1"/>
          <w:sz w:val="24"/>
          <w:szCs w:val="24"/>
          <w:lang w:eastAsia="en-GB"/>
        </w:rPr>
      </w:pPr>
    </w:p>
    <w:p w14:paraId="3841ECA4" w14:textId="307FC2C3" w:rsidR="00C35F06" w:rsidRPr="00BA60A2" w:rsidRDefault="00602EE2" w:rsidP="004653E9">
      <w:pPr>
        <w:jc w:val="both"/>
        <w:rPr>
          <w:rFonts w:ascii="Times New Roman" w:hAnsi="Times New Roman" w:cs="Times New Roman"/>
          <w:b/>
          <w:bCs/>
          <w:sz w:val="24"/>
          <w:szCs w:val="24"/>
        </w:rPr>
      </w:pPr>
      <w:r>
        <w:rPr>
          <w:rFonts w:ascii="Times New Roman" w:eastAsia="Calibri" w:hAnsi="Times New Roman" w:cs="Times New Roman"/>
          <w:sz w:val="24"/>
          <w:szCs w:val="24"/>
        </w:rPr>
        <w:tab/>
      </w:r>
      <w:r w:rsidR="00AC2723">
        <w:rPr>
          <w:rFonts w:ascii="Times New Roman" w:eastAsia="Calibri" w:hAnsi="Times New Roman" w:cs="Times New Roman"/>
          <w:sz w:val="24"/>
          <w:szCs w:val="24"/>
        </w:rPr>
        <w:t xml:space="preserve">  </w:t>
      </w:r>
      <w:r w:rsidR="009334E4">
        <w:rPr>
          <w:rFonts w:ascii="Times New Roman" w:eastAsia="Calibri" w:hAnsi="Times New Roman" w:cs="Times New Roman"/>
          <w:sz w:val="24"/>
          <w:szCs w:val="24"/>
        </w:rPr>
        <w:t xml:space="preserve"> </w:t>
      </w:r>
      <w:r w:rsidR="00AC2723">
        <w:rPr>
          <w:rFonts w:ascii="Times New Roman" w:eastAsia="Calibri" w:hAnsi="Times New Roman" w:cs="Times New Roman"/>
          <w:sz w:val="24"/>
          <w:szCs w:val="24"/>
        </w:rPr>
        <w:t>Î</w:t>
      </w:r>
      <w:r w:rsidR="00C35F06" w:rsidRPr="00BA60A2">
        <w:rPr>
          <w:rFonts w:ascii="Times New Roman" w:eastAsia="Calibri" w:hAnsi="Times New Roman" w:cs="Times New Roman"/>
          <w:sz w:val="24"/>
          <w:szCs w:val="24"/>
        </w:rPr>
        <w:t xml:space="preserve">n temeiul prevederilor art.182. </w:t>
      </w:r>
      <w:r w:rsidR="009779C2" w:rsidRPr="0009558F">
        <w:rPr>
          <w:rFonts w:ascii="Times New Roman" w:eastAsia="Times New Roman" w:hAnsi="Times New Roman" w:cs="Times New Roman"/>
          <w:iCs/>
          <w:color w:val="000000" w:themeColor="text1"/>
          <w:sz w:val="24"/>
          <w:szCs w:val="24"/>
        </w:rPr>
        <w:t>alin. (2)</w:t>
      </w:r>
      <w:r w:rsidR="009779C2">
        <w:rPr>
          <w:rFonts w:ascii="Times New Roman" w:eastAsia="Times New Roman" w:hAnsi="Times New Roman" w:cs="Times New Roman"/>
          <w:iCs/>
          <w:color w:val="000000" w:themeColor="text1"/>
          <w:sz w:val="24"/>
          <w:szCs w:val="24"/>
        </w:rPr>
        <w:t xml:space="preserve">, </w:t>
      </w:r>
      <w:r w:rsidR="00C35F06" w:rsidRPr="00BA60A2">
        <w:rPr>
          <w:rFonts w:ascii="Times New Roman" w:eastAsia="Calibri" w:hAnsi="Times New Roman" w:cs="Times New Roman"/>
          <w:sz w:val="24"/>
          <w:szCs w:val="24"/>
        </w:rPr>
        <w:t xml:space="preserve">alin. (4) coroborate cu cele ale art. </w:t>
      </w:r>
      <w:r w:rsidR="00C35F06" w:rsidRPr="00BA60A2">
        <w:rPr>
          <w:rFonts w:ascii="Times New Roman" w:eastAsia="Times New Roman" w:hAnsi="Times New Roman" w:cs="Times New Roman"/>
          <w:sz w:val="24"/>
          <w:szCs w:val="24"/>
        </w:rPr>
        <w:t xml:space="preserve">136 alin. (8) lit. b) </w:t>
      </w:r>
      <w:r w:rsidR="00C35F06" w:rsidRPr="00BA60A2">
        <w:rPr>
          <w:rFonts w:ascii="Times New Roman" w:eastAsia="Calibri" w:hAnsi="Times New Roman" w:cs="Times New Roman"/>
          <w:sz w:val="24"/>
          <w:szCs w:val="24"/>
        </w:rPr>
        <w:t xml:space="preserve">și alin. (10)  din Ordonanța de urgență nr.57/2019 privind Codul administrativ, cu modificările și completările ulterioare, </w:t>
      </w:r>
      <w:r w:rsidR="00C35F06" w:rsidRPr="00BA60A2">
        <w:rPr>
          <w:rFonts w:ascii="Times New Roman" w:eastAsia="Calibri" w:hAnsi="Times New Roman" w:cs="Times New Roman"/>
          <w:b/>
          <w:bCs/>
          <w:sz w:val="24"/>
          <w:szCs w:val="24"/>
        </w:rPr>
        <w:t>considerăm oportună și legală adoptarea</w:t>
      </w:r>
      <w:r w:rsidR="00C35F06" w:rsidRPr="00BA60A2">
        <w:rPr>
          <w:rFonts w:ascii="Times New Roman" w:eastAsia="Calibri" w:hAnsi="Times New Roman" w:cs="Times New Roman"/>
          <w:sz w:val="24"/>
          <w:szCs w:val="24"/>
        </w:rPr>
        <w:t xml:space="preserve"> </w:t>
      </w:r>
      <w:r w:rsidR="00C35F06" w:rsidRPr="00BA60A2">
        <w:rPr>
          <w:rFonts w:ascii="Times New Roman" w:eastAsia="Calibri" w:hAnsi="Times New Roman" w:cs="Times New Roman"/>
          <w:b/>
          <w:bCs/>
          <w:sz w:val="24"/>
          <w:szCs w:val="24"/>
        </w:rPr>
        <w:t xml:space="preserve">Proiectului de hotărâre </w:t>
      </w:r>
      <w:r w:rsidR="00C35F06" w:rsidRPr="00BA60A2">
        <w:rPr>
          <w:rFonts w:ascii="Times New Roman" w:eastAsia="Times New Roman" w:hAnsi="Times New Roman" w:cs="Times New Roman"/>
          <w:b/>
          <w:bCs/>
          <w:sz w:val="24"/>
          <w:szCs w:val="24"/>
          <w:lang w:eastAsia="ro-RO"/>
        </w:rPr>
        <w:t>privind</w:t>
      </w:r>
      <w:r w:rsidR="00C35F06" w:rsidRPr="00BA60A2">
        <w:rPr>
          <w:rFonts w:ascii="Times New Roman" w:hAnsi="Times New Roman" w:cs="Times New Roman"/>
          <w:b/>
          <w:bCs/>
          <w:sz w:val="24"/>
          <w:szCs w:val="24"/>
        </w:rPr>
        <w:t xml:space="preserve"> </w:t>
      </w:r>
      <w:r w:rsidR="00C35F06" w:rsidRPr="00CD46AA">
        <w:rPr>
          <w:rFonts w:ascii="Times New Roman" w:hAnsi="Times New Roman" w:cs="Times New Roman"/>
          <w:b/>
          <w:bCs/>
          <w:sz w:val="24"/>
          <w:szCs w:val="24"/>
        </w:rPr>
        <w:t xml:space="preserve">aprobarea </w:t>
      </w:r>
      <w:r w:rsidR="00C46108" w:rsidRPr="00CD46AA">
        <w:rPr>
          <w:rFonts w:ascii="Times New Roman" w:hAnsi="Times New Roman" w:cs="Times New Roman"/>
          <w:b/>
          <w:bCs/>
          <w:sz w:val="24"/>
          <w:szCs w:val="24"/>
        </w:rPr>
        <w:t>modificării strategiei de tarifare prin Planul anual de evoluție a tarifelor,</w:t>
      </w:r>
      <w:r w:rsidR="00C35F06" w:rsidRPr="00CD46AA">
        <w:rPr>
          <w:rFonts w:ascii="Times New Roman" w:hAnsi="Times New Roman" w:cs="Times New Roman"/>
          <w:b/>
          <w:bCs/>
          <w:sz w:val="24"/>
          <w:szCs w:val="24"/>
        </w:rPr>
        <w:t xml:space="preserve"> conform </w:t>
      </w:r>
      <w:r w:rsidR="00C35F06" w:rsidRPr="00BA60A2">
        <w:rPr>
          <w:rFonts w:ascii="Times New Roman" w:hAnsi="Times New Roman" w:cs="Times New Roman"/>
          <w:b/>
          <w:bCs/>
          <w:sz w:val="24"/>
          <w:szCs w:val="24"/>
        </w:rPr>
        <w:t>rezultatelor Analizei Cost-Beneficiu pentru “Proiectul regional de dezvoltare a infrastructurii de apă și apă uzată din județul Satu Mare/Regiunea Nord-Vest, în perioada 2014-2020”, cod SMIS 123241 și aprobarea Actelor adiționale 13 și 14 la Contractul de delegare al gestiunii serviciilor publice de alimentare cu apă şi de canalizare nr.12.313/19.11.2009</w:t>
      </w:r>
    </w:p>
    <w:p w14:paraId="642F0D66" w14:textId="439EFAC9" w:rsidR="00AC1D96" w:rsidRPr="00BA60A2" w:rsidRDefault="00AC1D96" w:rsidP="00EE0A39">
      <w:pPr>
        <w:spacing w:after="0" w:line="240" w:lineRule="auto"/>
        <w:jc w:val="both"/>
        <w:rPr>
          <w:rFonts w:ascii="Times New Roman" w:hAnsi="Times New Roman" w:cs="Times New Roman"/>
          <w:color w:val="000000" w:themeColor="text1"/>
          <w:sz w:val="24"/>
          <w:szCs w:val="24"/>
        </w:rPr>
      </w:pPr>
    </w:p>
    <w:p w14:paraId="4507C43A" w14:textId="55FFC713" w:rsidR="001949FC" w:rsidRPr="00BA60A2" w:rsidRDefault="001949FC" w:rsidP="00EE0A39">
      <w:pPr>
        <w:spacing w:after="0" w:line="240" w:lineRule="auto"/>
        <w:jc w:val="both"/>
        <w:rPr>
          <w:rFonts w:ascii="Times New Roman" w:hAnsi="Times New Roman" w:cs="Times New Roman"/>
          <w:color w:val="000000" w:themeColor="text1"/>
          <w:sz w:val="24"/>
          <w:szCs w:val="24"/>
        </w:rPr>
      </w:pPr>
    </w:p>
    <w:p w14:paraId="09269174" w14:textId="1CDD0A6F" w:rsidR="001949FC" w:rsidRPr="00BA60A2" w:rsidRDefault="001949FC" w:rsidP="001949FC">
      <w:pPr>
        <w:tabs>
          <w:tab w:val="left" w:pos="690"/>
          <w:tab w:val="center" w:pos="4749"/>
          <w:tab w:val="left" w:pos="9724"/>
        </w:tabs>
        <w:spacing w:after="0" w:line="276" w:lineRule="auto"/>
        <w:ind w:right="-284"/>
        <w:jc w:val="both"/>
        <w:rPr>
          <w:rFonts w:ascii="Times New Roman" w:eastAsia="Calibri" w:hAnsi="Times New Roman" w:cs="Times New Roman"/>
          <w:b/>
          <w:bCs/>
          <w:sz w:val="24"/>
          <w:szCs w:val="24"/>
        </w:rPr>
      </w:pPr>
      <w:r w:rsidRPr="00BA60A2">
        <w:rPr>
          <w:rFonts w:ascii="Times New Roman" w:eastAsia="Calibri" w:hAnsi="Times New Roman" w:cs="Times New Roman"/>
          <w:b/>
          <w:bCs/>
          <w:sz w:val="24"/>
          <w:szCs w:val="24"/>
          <w:lang w:eastAsia="x-none"/>
        </w:rPr>
        <w:t xml:space="preserve">             </w:t>
      </w:r>
      <w:r w:rsidRPr="00BA60A2">
        <w:rPr>
          <w:rFonts w:ascii="Times New Roman" w:eastAsia="Calibri" w:hAnsi="Times New Roman" w:cs="Times New Roman"/>
          <w:b/>
          <w:bCs/>
          <w:sz w:val="24"/>
          <w:szCs w:val="24"/>
        </w:rPr>
        <w:t xml:space="preserve">        Director executiv,                                              </w:t>
      </w:r>
      <w:r w:rsidR="00C413B7">
        <w:rPr>
          <w:rFonts w:ascii="Times New Roman" w:eastAsia="Calibri" w:hAnsi="Times New Roman" w:cs="Times New Roman"/>
          <w:b/>
          <w:bCs/>
          <w:sz w:val="24"/>
          <w:szCs w:val="24"/>
        </w:rPr>
        <w:t xml:space="preserve">              </w:t>
      </w:r>
      <w:r w:rsidRPr="00BA60A2">
        <w:rPr>
          <w:rFonts w:ascii="Times New Roman" w:eastAsia="Calibri" w:hAnsi="Times New Roman" w:cs="Times New Roman"/>
          <w:b/>
          <w:bCs/>
          <w:sz w:val="24"/>
          <w:szCs w:val="24"/>
        </w:rPr>
        <w:t xml:space="preserve">  Șef Serviciu Monitorizare, </w:t>
      </w:r>
    </w:p>
    <w:p w14:paraId="27A6B821" w14:textId="279802D7" w:rsidR="001949FC" w:rsidRPr="00BA60A2" w:rsidRDefault="001949FC" w:rsidP="001949FC">
      <w:pPr>
        <w:spacing w:after="0" w:line="276" w:lineRule="auto"/>
        <w:ind w:right="-285"/>
        <w:jc w:val="both"/>
        <w:rPr>
          <w:rFonts w:ascii="Times New Roman" w:eastAsia="Calibri" w:hAnsi="Times New Roman" w:cs="Times New Roman"/>
          <w:b/>
          <w:bCs/>
          <w:sz w:val="24"/>
          <w:szCs w:val="24"/>
        </w:rPr>
      </w:pPr>
      <w:r w:rsidRPr="00BA60A2">
        <w:rPr>
          <w:rFonts w:ascii="Times New Roman" w:eastAsia="Calibri" w:hAnsi="Times New Roman" w:cs="Times New Roman"/>
          <w:b/>
          <w:bCs/>
          <w:sz w:val="24"/>
          <w:szCs w:val="24"/>
        </w:rPr>
        <w:t xml:space="preserve">                  Ștern Felicia Cristina                                             </w:t>
      </w:r>
      <w:r w:rsidR="00C413B7">
        <w:rPr>
          <w:rFonts w:ascii="Times New Roman" w:eastAsia="Calibri" w:hAnsi="Times New Roman" w:cs="Times New Roman"/>
          <w:b/>
          <w:bCs/>
          <w:sz w:val="24"/>
          <w:szCs w:val="24"/>
        </w:rPr>
        <w:t xml:space="preserve">          </w:t>
      </w:r>
      <w:r w:rsidRPr="00BA60A2">
        <w:rPr>
          <w:rFonts w:ascii="Times New Roman" w:eastAsia="Calibri" w:hAnsi="Times New Roman" w:cs="Times New Roman"/>
          <w:b/>
          <w:bCs/>
          <w:sz w:val="24"/>
          <w:szCs w:val="24"/>
        </w:rPr>
        <w:t xml:space="preserve">  Roman Luminița Liliana    </w:t>
      </w:r>
    </w:p>
    <w:p w14:paraId="41F28B2D" w14:textId="77777777" w:rsidR="001949FC" w:rsidRPr="00BA60A2" w:rsidRDefault="001949FC" w:rsidP="001949FC">
      <w:pPr>
        <w:spacing w:after="0" w:line="276" w:lineRule="auto"/>
        <w:ind w:right="-285"/>
        <w:jc w:val="both"/>
        <w:rPr>
          <w:rFonts w:ascii="Times New Roman" w:eastAsia="Calibri" w:hAnsi="Times New Roman" w:cs="Times New Roman"/>
          <w:b/>
          <w:bCs/>
          <w:sz w:val="24"/>
          <w:szCs w:val="24"/>
        </w:rPr>
      </w:pPr>
    </w:p>
    <w:p w14:paraId="66F89C4C" w14:textId="76694F39" w:rsidR="001949FC" w:rsidRPr="00BA60A2" w:rsidRDefault="001949FC" w:rsidP="001949FC">
      <w:pPr>
        <w:spacing w:after="0" w:line="276" w:lineRule="auto"/>
        <w:ind w:right="-285"/>
        <w:jc w:val="both"/>
        <w:rPr>
          <w:rFonts w:ascii="Times New Roman" w:eastAsia="Calibri" w:hAnsi="Times New Roman" w:cs="Times New Roman"/>
          <w:b/>
          <w:bCs/>
          <w:sz w:val="24"/>
          <w:szCs w:val="24"/>
          <w:lang w:eastAsia="x-none"/>
        </w:rPr>
      </w:pPr>
      <w:r w:rsidRPr="00BA60A2">
        <w:rPr>
          <w:rFonts w:ascii="Times New Roman" w:eastAsia="Calibri" w:hAnsi="Times New Roman" w:cs="Times New Roman"/>
          <w:b/>
          <w:bCs/>
          <w:sz w:val="24"/>
          <w:szCs w:val="24"/>
        </w:rPr>
        <w:t xml:space="preserve">                                          </w:t>
      </w:r>
    </w:p>
    <w:p w14:paraId="276F0512" w14:textId="7806BECD" w:rsidR="001949FC" w:rsidRPr="00BA60A2" w:rsidRDefault="001949FC" w:rsidP="001949FC">
      <w:pPr>
        <w:tabs>
          <w:tab w:val="center" w:pos="4749"/>
          <w:tab w:val="left" w:pos="9724"/>
        </w:tabs>
        <w:spacing w:after="0" w:line="276" w:lineRule="auto"/>
        <w:ind w:left="1416" w:right="-284"/>
        <w:rPr>
          <w:rFonts w:ascii="Times New Roman" w:eastAsia="Calibri" w:hAnsi="Times New Roman" w:cs="Times New Roman"/>
          <w:b/>
          <w:bCs/>
          <w:sz w:val="24"/>
          <w:szCs w:val="24"/>
          <w:lang w:eastAsia="x-none"/>
        </w:rPr>
      </w:pPr>
      <w:r w:rsidRPr="00BA60A2">
        <w:rPr>
          <w:rFonts w:ascii="Times New Roman" w:eastAsia="Calibri" w:hAnsi="Times New Roman" w:cs="Times New Roman"/>
          <w:b/>
          <w:bCs/>
          <w:sz w:val="24"/>
          <w:szCs w:val="24"/>
        </w:rPr>
        <w:t xml:space="preserve">                                         </w:t>
      </w:r>
      <w:r w:rsidR="00C413B7">
        <w:rPr>
          <w:rFonts w:ascii="Times New Roman" w:eastAsia="Calibri" w:hAnsi="Times New Roman" w:cs="Times New Roman"/>
          <w:b/>
          <w:bCs/>
          <w:sz w:val="24"/>
          <w:szCs w:val="24"/>
        </w:rPr>
        <w:t xml:space="preserve">  </w:t>
      </w:r>
      <w:r w:rsidRPr="00BA60A2">
        <w:rPr>
          <w:rFonts w:ascii="Times New Roman" w:eastAsia="Calibri" w:hAnsi="Times New Roman" w:cs="Times New Roman"/>
          <w:b/>
          <w:bCs/>
          <w:sz w:val="24"/>
          <w:szCs w:val="24"/>
        </w:rPr>
        <w:t xml:space="preserve">  Vizat juridic,</w:t>
      </w:r>
    </w:p>
    <w:p w14:paraId="57219260" w14:textId="6DE48775" w:rsidR="001949FC" w:rsidRPr="00BA60A2" w:rsidRDefault="001949FC" w:rsidP="001949FC">
      <w:pPr>
        <w:tabs>
          <w:tab w:val="center" w:pos="4749"/>
          <w:tab w:val="left" w:pos="9724"/>
        </w:tabs>
        <w:spacing w:after="0" w:line="276" w:lineRule="auto"/>
        <w:ind w:left="1416" w:right="-284"/>
        <w:rPr>
          <w:rFonts w:ascii="Times New Roman" w:eastAsia="Calibri" w:hAnsi="Times New Roman" w:cs="Times New Roman"/>
          <w:b/>
          <w:bCs/>
          <w:sz w:val="24"/>
          <w:szCs w:val="24"/>
          <w:lang w:eastAsia="x-none"/>
        </w:rPr>
      </w:pPr>
      <w:r w:rsidRPr="00BA60A2">
        <w:rPr>
          <w:rFonts w:ascii="Times New Roman" w:eastAsia="Calibri" w:hAnsi="Times New Roman" w:cs="Times New Roman"/>
          <w:b/>
          <w:bCs/>
          <w:sz w:val="24"/>
          <w:szCs w:val="24"/>
          <w:lang w:eastAsia="x-none"/>
        </w:rPr>
        <w:t xml:space="preserve">                                   </w:t>
      </w:r>
      <w:r w:rsidR="00C413B7">
        <w:rPr>
          <w:rFonts w:ascii="Times New Roman" w:eastAsia="Calibri" w:hAnsi="Times New Roman" w:cs="Times New Roman"/>
          <w:b/>
          <w:bCs/>
          <w:sz w:val="24"/>
          <w:szCs w:val="24"/>
          <w:lang w:eastAsia="x-none"/>
        </w:rPr>
        <w:t xml:space="preserve">  </w:t>
      </w:r>
      <w:r w:rsidRPr="00BA60A2">
        <w:rPr>
          <w:rFonts w:ascii="Times New Roman" w:eastAsia="Calibri" w:hAnsi="Times New Roman" w:cs="Times New Roman"/>
          <w:b/>
          <w:bCs/>
          <w:sz w:val="24"/>
          <w:szCs w:val="24"/>
          <w:lang w:eastAsia="x-none"/>
        </w:rPr>
        <w:t xml:space="preserve">   </w:t>
      </w:r>
      <w:r w:rsidRPr="00BA60A2">
        <w:rPr>
          <w:rFonts w:ascii="Times New Roman" w:eastAsia="Calibri" w:hAnsi="Times New Roman" w:cs="Times New Roman"/>
          <w:b/>
          <w:sz w:val="24"/>
          <w:szCs w:val="24"/>
        </w:rPr>
        <w:t>Roatiș Alina–Ligia</w:t>
      </w:r>
    </w:p>
    <w:p w14:paraId="13233226" w14:textId="77777777" w:rsidR="00BD09C6" w:rsidRDefault="00BD09C6" w:rsidP="00EE0A39">
      <w:pPr>
        <w:spacing w:after="0" w:line="240" w:lineRule="auto"/>
        <w:jc w:val="both"/>
        <w:rPr>
          <w:rFonts w:ascii="Times New Roman" w:eastAsia="Calibri" w:hAnsi="Times New Roman" w:cs="Times New Roman"/>
          <w:bCs/>
          <w:color w:val="000000" w:themeColor="text1"/>
          <w:sz w:val="10"/>
          <w:szCs w:val="10"/>
        </w:rPr>
      </w:pPr>
    </w:p>
    <w:p w14:paraId="7AACE1B5" w14:textId="77777777" w:rsidR="00BD09C6" w:rsidRDefault="00BD09C6" w:rsidP="00EE0A39">
      <w:pPr>
        <w:spacing w:after="0" w:line="240" w:lineRule="auto"/>
        <w:jc w:val="both"/>
        <w:rPr>
          <w:rFonts w:ascii="Times New Roman" w:eastAsia="Calibri" w:hAnsi="Times New Roman" w:cs="Times New Roman"/>
          <w:bCs/>
          <w:color w:val="000000" w:themeColor="text1"/>
          <w:sz w:val="10"/>
          <w:szCs w:val="10"/>
        </w:rPr>
      </w:pPr>
    </w:p>
    <w:p w14:paraId="3E558A7A" w14:textId="77777777" w:rsidR="00BD09C6" w:rsidRDefault="00BD09C6" w:rsidP="00EE0A39">
      <w:pPr>
        <w:spacing w:after="0" w:line="240" w:lineRule="auto"/>
        <w:jc w:val="both"/>
        <w:rPr>
          <w:rFonts w:ascii="Times New Roman" w:eastAsia="Calibri" w:hAnsi="Times New Roman" w:cs="Times New Roman"/>
          <w:bCs/>
          <w:color w:val="000000" w:themeColor="text1"/>
          <w:sz w:val="10"/>
          <w:szCs w:val="10"/>
        </w:rPr>
      </w:pPr>
    </w:p>
    <w:p w14:paraId="23B8BC37" w14:textId="77777777" w:rsidR="00BD09C6" w:rsidRDefault="00BD09C6" w:rsidP="00EE0A39">
      <w:pPr>
        <w:spacing w:after="0" w:line="240" w:lineRule="auto"/>
        <w:jc w:val="both"/>
        <w:rPr>
          <w:rFonts w:ascii="Times New Roman" w:eastAsia="Calibri" w:hAnsi="Times New Roman" w:cs="Times New Roman"/>
          <w:bCs/>
          <w:color w:val="000000" w:themeColor="text1"/>
          <w:sz w:val="10"/>
          <w:szCs w:val="10"/>
        </w:rPr>
      </w:pPr>
    </w:p>
    <w:p w14:paraId="40B93EC7" w14:textId="77777777" w:rsidR="00BD09C6" w:rsidRDefault="00BD09C6" w:rsidP="00EE0A39">
      <w:pPr>
        <w:spacing w:after="0" w:line="240" w:lineRule="auto"/>
        <w:jc w:val="both"/>
        <w:rPr>
          <w:rFonts w:ascii="Times New Roman" w:eastAsia="Calibri" w:hAnsi="Times New Roman" w:cs="Times New Roman"/>
          <w:bCs/>
          <w:color w:val="000000" w:themeColor="text1"/>
          <w:sz w:val="10"/>
          <w:szCs w:val="10"/>
        </w:rPr>
      </w:pPr>
    </w:p>
    <w:p w14:paraId="2740893F" w14:textId="77777777" w:rsidR="00BD09C6" w:rsidRDefault="00BD09C6" w:rsidP="00EE0A39">
      <w:pPr>
        <w:spacing w:after="0" w:line="240" w:lineRule="auto"/>
        <w:jc w:val="both"/>
        <w:rPr>
          <w:rFonts w:ascii="Times New Roman" w:eastAsia="Calibri" w:hAnsi="Times New Roman" w:cs="Times New Roman"/>
          <w:bCs/>
          <w:color w:val="000000" w:themeColor="text1"/>
          <w:sz w:val="10"/>
          <w:szCs w:val="10"/>
        </w:rPr>
      </w:pPr>
    </w:p>
    <w:p w14:paraId="6B0BF269" w14:textId="77777777" w:rsidR="00BD09C6" w:rsidRDefault="00BD09C6" w:rsidP="00EE0A39">
      <w:pPr>
        <w:spacing w:after="0" w:line="240" w:lineRule="auto"/>
        <w:jc w:val="both"/>
        <w:rPr>
          <w:rFonts w:ascii="Times New Roman" w:eastAsia="Calibri" w:hAnsi="Times New Roman" w:cs="Times New Roman"/>
          <w:bCs/>
          <w:color w:val="000000" w:themeColor="text1"/>
          <w:sz w:val="10"/>
          <w:szCs w:val="10"/>
        </w:rPr>
      </w:pPr>
    </w:p>
    <w:p w14:paraId="20B1E1CB" w14:textId="77777777" w:rsidR="00BD09C6" w:rsidRDefault="00BD09C6" w:rsidP="00EE0A39">
      <w:pPr>
        <w:spacing w:after="0" w:line="240" w:lineRule="auto"/>
        <w:jc w:val="both"/>
        <w:rPr>
          <w:rFonts w:ascii="Times New Roman" w:eastAsia="Calibri" w:hAnsi="Times New Roman" w:cs="Times New Roman"/>
          <w:bCs/>
          <w:color w:val="000000" w:themeColor="text1"/>
          <w:sz w:val="10"/>
          <w:szCs w:val="10"/>
        </w:rPr>
      </w:pPr>
    </w:p>
    <w:p w14:paraId="40E088B2" w14:textId="77777777" w:rsidR="00BD09C6" w:rsidRDefault="00BD09C6" w:rsidP="00EE0A39">
      <w:pPr>
        <w:spacing w:after="0" w:line="240" w:lineRule="auto"/>
        <w:jc w:val="both"/>
        <w:rPr>
          <w:rFonts w:ascii="Times New Roman" w:eastAsia="Calibri" w:hAnsi="Times New Roman" w:cs="Times New Roman"/>
          <w:bCs/>
          <w:color w:val="000000" w:themeColor="text1"/>
          <w:sz w:val="10"/>
          <w:szCs w:val="10"/>
        </w:rPr>
      </w:pPr>
    </w:p>
    <w:p w14:paraId="698DC8CD" w14:textId="77777777" w:rsidR="00BD09C6" w:rsidRDefault="00BD09C6" w:rsidP="00EE0A39">
      <w:pPr>
        <w:spacing w:after="0" w:line="240" w:lineRule="auto"/>
        <w:jc w:val="both"/>
        <w:rPr>
          <w:rFonts w:ascii="Times New Roman" w:eastAsia="Calibri" w:hAnsi="Times New Roman" w:cs="Times New Roman"/>
          <w:bCs/>
          <w:color w:val="000000" w:themeColor="text1"/>
          <w:sz w:val="10"/>
          <w:szCs w:val="10"/>
        </w:rPr>
      </w:pPr>
    </w:p>
    <w:p w14:paraId="33ED37BA" w14:textId="77777777" w:rsidR="00BD09C6" w:rsidRDefault="00BD09C6" w:rsidP="00EE0A39">
      <w:pPr>
        <w:spacing w:after="0" w:line="240" w:lineRule="auto"/>
        <w:jc w:val="both"/>
        <w:rPr>
          <w:rFonts w:ascii="Times New Roman" w:eastAsia="Calibri" w:hAnsi="Times New Roman" w:cs="Times New Roman"/>
          <w:bCs/>
          <w:color w:val="000000" w:themeColor="text1"/>
          <w:sz w:val="10"/>
          <w:szCs w:val="10"/>
        </w:rPr>
      </w:pPr>
    </w:p>
    <w:p w14:paraId="66A97C91" w14:textId="77777777" w:rsidR="00CD46AA" w:rsidRDefault="00CD46AA" w:rsidP="00EE0A39">
      <w:pPr>
        <w:spacing w:after="0" w:line="240" w:lineRule="auto"/>
        <w:jc w:val="both"/>
        <w:rPr>
          <w:rFonts w:ascii="Times New Roman" w:eastAsia="Calibri" w:hAnsi="Times New Roman" w:cs="Times New Roman"/>
          <w:bCs/>
          <w:color w:val="000000" w:themeColor="text1"/>
          <w:sz w:val="10"/>
          <w:szCs w:val="10"/>
        </w:rPr>
      </w:pPr>
    </w:p>
    <w:p w14:paraId="58DC32E6" w14:textId="77777777" w:rsidR="00CD46AA" w:rsidRDefault="00CD46AA" w:rsidP="00EE0A39">
      <w:pPr>
        <w:spacing w:after="0" w:line="240" w:lineRule="auto"/>
        <w:jc w:val="both"/>
        <w:rPr>
          <w:rFonts w:ascii="Times New Roman" w:eastAsia="Calibri" w:hAnsi="Times New Roman" w:cs="Times New Roman"/>
          <w:bCs/>
          <w:color w:val="000000" w:themeColor="text1"/>
          <w:sz w:val="10"/>
          <w:szCs w:val="10"/>
        </w:rPr>
      </w:pPr>
    </w:p>
    <w:p w14:paraId="420BD1ED" w14:textId="77777777" w:rsidR="00CD46AA" w:rsidRDefault="00CD46AA" w:rsidP="00EE0A39">
      <w:pPr>
        <w:spacing w:after="0" w:line="240" w:lineRule="auto"/>
        <w:jc w:val="both"/>
        <w:rPr>
          <w:rFonts w:ascii="Times New Roman" w:eastAsia="Calibri" w:hAnsi="Times New Roman" w:cs="Times New Roman"/>
          <w:bCs/>
          <w:color w:val="000000" w:themeColor="text1"/>
          <w:sz w:val="10"/>
          <w:szCs w:val="10"/>
        </w:rPr>
      </w:pPr>
    </w:p>
    <w:p w14:paraId="2D38C9F5" w14:textId="77777777" w:rsidR="00CD46AA" w:rsidRDefault="00CD46AA" w:rsidP="00EE0A39">
      <w:pPr>
        <w:spacing w:after="0" w:line="240" w:lineRule="auto"/>
        <w:jc w:val="both"/>
        <w:rPr>
          <w:rFonts w:ascii="Times New Roman" w:eastAsia="Calibri" w:hAnsi="Times New Roman" w:cs="Times New Roman"/>
          <w:bCs/>
          <w:color w:val="000000" w:themeColor="text1"/>
          <w:sz w:val="10"/>
          <w:szCs w:val="10"/>
        </w:rPr>
      </w:pPr>
    </w:p>
    <w:p w14:paraId="382563B5" w14:textId="77777777" w:rsidR="00CD46AA" w:rsidRDefault="00CD46AA" w:rsidP="00EE0A39">
      <w:pPr>
        <w:spacing w:after="0" w:line="240" w:lineRule="auto"/>
        <w:jc w:val="both"/>
        <w:rPr>
          <w:rFonts w:ascii="Times New Roman" w:eastAsia="Calibri" w:hAnsi="Times New Roman" w:cs="Times New Roman"/>
          <w:bCs/>
          <w:color w:val="000000" w:themeColor="text1"/>
          <w:sz w:val="10"/>
          <w:szCs w:val="10"/>
        </w:rPr>
      </w:pPr>
    </w:p>
    <w:p w14:paraId="74054968" w14:textId="77777777" w:rsidR="00CD46AA" w:rsidRDefault="00CD46AA" w:rsidP="00EE0A39">
      <w:pPr>
        <w:spacing w:after="0" w:line="240" w:lineRule="auto"/>
        <w:jc w:val="both"/>
        <w:rPr>
          <w:rFonts w:ascii="Times New Roman" w:eastAsia="Calibri" w:hAnsi="Times New Roman" w:cs="Times New Roman"/>
          <w:bCs/>
          <w:color w:val="000000" w:themeColor="text1"/>
          <w:sz w:val="10"/>
          <w:szCs w:val="10"/>
        </w:rPr>
      </w:pPr>
    </w:p>
    <w:p w14:paraId="25656DD6" w14:textId="77777777" w:rsidR="00CD46AA" w:rsidRDefault="00CD46AA" w:rsidP="00EE0A39">
      <w:pPr>
        <w:spacing w:after="0" w:line="240" w:lineRule="auto"/>
        <w:jc w:val="both"/>
        <w:rPr>
          <w:rFonts w:ascii="Times New Roman" w:eastAsia="Calibri" w:hAnsi="Times New Roman" w:cs="Times New Roman"/>
          <w:bCs/>
          <w:color w:val="000000" w:themeColor="text1"/>
          <w:sz w:val="10"/>
          <w:szCs w:val="10"/>
        </w:rPr>
      </w:pPr>
    </w:p>
    <w:p w14:paraId="31BDAFFD" w14:textId="77777777" w:rsidR="00CD46AA" w:rsidRDefault="00CD46AA" w:rsidP="00EE0A39">
      <w:pPr>
        <w:spacing w:after="0" w:line="240" w:lineRule="auto"/>
        <w:jc w:val="both"/>
        <w:rPr>
          <w:rFonts w:ascii="Times New Roman" w:eastAsia="Calibri" w:hAnsi="Times New Roman" w:cs="Times New Roman"/>
          <w:bCs/>
          <w:color w:val="000000" w:themeColor="text1"/>
          <w:sz w:val="10"/>
          <w:szCs w:val="10"/>
        </w:rPr>
      </w:pPr>
    </w:p>
    <w:p w14:paraId="2EAAF58D" w14:textId="77777777" w:rsidR="00CD46AA" w:rsidRDefault="00CD46AA" w:rsidP="00EE0A39">
      <w:pPr>
        <w:spacing w:after="0" w:line="240" w:lineRule="auto"/>
        <w:jc w:val="both"/>
        <w:rPr>
          <w:rFonts w:ascii="Times New Roman" w:eastAsia="Calibri" w:hAnsi="Times New Roman" w:cs="Times New Roman"/>
          <w:bCs/>
          <w:color w:val="000000" w:themeColor="text1"/>
          <w:sz w:val="10"/>
          <w:szCs w:val="10"/>
        </w:rPr>
      </w:pPr>
    </w:p>
    <w:p w14:paraId="28519D26" w14:textId="77777777" w:rsidR="00CD46AA" w:rsidRDefault="00CD46AA" w:rsidP="00EE0A39">
      <w:pPr>
        <w:spacing w:after="0" w:line="240" w:lineRule="auto"/>
        <w:jc w:val="both"/>
        <w:rPr>
          <w:rFonts w:ascii="Times New Roman" w:eastAsia="Calibri" w:hAnsi="Times New Roman" w:cs="Times New Roman"/>
          <w:bCs/>
          <w:color w:val="000000" w:themeColor="text1"/>
          <w:sz w:val="10"/>
          <w:szCs w:val="10"/>
        </w:rPr>
      </w:pPr>
    </w:p>
    <w:p w14:paraId="3BEEE1B8" w14:textId="77777777" w:rsidR="00CD46AA" w:rsidRDefault="00CD46AA" w:rsidP="00EE0A39">
      <w:pPr>
        <w:spacing w:after="0" w:line="240" w:lineRule="auto"/>
        <w:jc w:val="both"/>
        <w:rPr>
          <w:rFonts w:ascii="Times New Roman" w:eastAsia="Calibri" w:hAnsi="Times New Roman" w:cs="Times New Roman"/>
          <w:bCs/>
          <w:color w:val="000000" w:themeColor="text1"/>
          <w:sz w:val="10"/>
          <w:szCs w:val="10"/>
        </w:rPr>
      </w:pPr>
    </w:p>
    <w:p w14:paraId="42B22E70" w14:textId="77777777" w:rsidR="00CD46AA" w:rsidRDefault="00CD46AA" w:rsidP="00EE0A39">
      <w:pPr>
        <w:spacing w:after="0" w:line="240" w:lineRule="auto"/>
        <w:jc w:val="both"/>
        <w:rPr>
          <w:rFonts w:ascii="Times New Roman" w:eastAsia="Calibri" w:hAnsi="Times New Roman" w:cs="Times New Roman"/>
          <w:bCs/>
          <w:color w:val="000000" w:themeColor="text1"/>
          <w:sz w:val="10"/>
          <w:szCs w:val="10"/>
        </w:rPr>
      </w:pPr>
    </w:p>
    <w:p w14:paraId="13D626DC" w14:textId="77777777" w:rsidR="00CD46AA" w:rsidRDefault="00CD46AA" w:rsidP="00EE0A39">
      <w:pPr>
        <w:spacing w:after="0" w:line="240" w:lineRule="auto"/>
        <w:jc w:val="both"/>
        <w:rPr>
          <w:rFonts w:ascii="Times New Roman" w:eastAsia="Calibri" w:hAnsi="Times New Roman" w:cs="Times New Roman"/>
          <w:bCs/>
          <w:color w:val="000000" w:themeColor="text1"/>
          <w:sz w:val="10"/>
          <w:szCs w:val="10"/>
        </w:rPr>
      </w:pPr>
    </w:p>
    <w:p w14:paraId="4B46B8B5" w14:textId="77777777" w:rsidR="00CD46AA" w:rsidRDefault="00CD46AA" w:rsidP="00EE0A39">
      <w:pPr>
        <w:spacing w:after="0" w:line="240" w:lineRule="auto"/>
        <w:jc w:val="both"/>
        <w:rPr>
          <w:rFonts w:ascii="Times New Roman" w:eastAsia="Calibri" w:hAnsi="Times New Roman" w:cs="Times New Roman"/>
          <w:bCs/>
          <w:color w:val="000000" w:themeColor="text1"/>
          <w:sz w:val="10"/>
          <w:szCs w:val="10"/>
        </w:rPr>
      </w:pPr>
    </w:p>
    <w:p w14:paraId="7F3A0EAE" w14:textId="77777777" w:rsidR="00CD46AA" w:rsidRDefault="00CD46AA" w:rsidP="00EE0A39">
      <w:pPr>
        <w:spacing w:after="0" w:line="240" w:lineRule="auto"/>
        <w:jc w:val="both"/>
        <w:rPr>
          <w:rFonts w:ascii="Times New Roman" w:eastAsia="Calibri" w:hAnsi="Times New Roman" w:cs="Times New Roman"/>
          <w:bCs/>
          <w:color w:val="000000" w:themeColor="text1"/>
          <w:sz w:val="10"/>
          <w:szCs w:val="10"/>
        </w:rPr>
      </w:pPr>
    </w:p>
    <w:p w14:paraId="79C08598" w14:textId="77777777" w:rsidR="00CD46AA" w:rsidRDefault="00CD46AA" w:rsidP="00EE0A39">
      <w:pPr>
        <w:spacing w:after="0" w:line="240" w:lineRule="auto"/>
        <w:jc w:val="both"/>
        <w:rPr>
          <w:rFonts w:ascii="Times New Roman" w:eastAsia="Calibri" w:hAnsi="Times New Roman" w:cs="Times New Roman"/>
          <w:bCs/>
          <w:color w:val="000000" w:themeColor="text1"/>
          <w:sz w:val="10"/>
          <w:szCs w:val="10"/>
        </w:rPr>
      </w:pPr>
    </w:p>
    <w:p w14:paraId="3B19C354" w14:textId="77777777" w:rsidR="00CD46AA" w:rsidRDefault="00CD46AA" w:rsidP="00EE0A39">
      <w:pPr>
        <w:spacing w:after="0" w:line="240" w:lineRule="auto"/>
        <w:jc w:val="both"/>
        <w:rPr>
          <w:rFonts w:ascii="Times New Roman" w:eastAsia="Calibri" w:hAnsi="Times New Roman" w:cs="Times New Roman"/>
          <w:bCs/>
          <w:color w:val="000000" w:themeColor="text1"/>
          <w:sz w:val="10"/>
          <w:szCs w:val="10"/>
        </w:rPr>
      </w:pPr>
    </w:p>
    <w:p w14:paraId="21CD6F62" w14:textId="77777777" w:rsidR="00CD46AA" w:rsidRDefault="00CD46AA" w:rsidP="00EE0A39">
      <w:pPr>
        <w:spacing w:after="0" w:line="240" w:lineRule="auto"/>
        <w:jc w:val="both"/>
        <w:rPr>
          <w:rFonts w:ascii="Times New Roman" w:eastAsia="Calibri" w:hAnsi="Times New Roman" w:cs="Times New Roman"/>
          <w:bCs/>
          <w:color w:val="000000" w:themeColor="text1"/>
          <w:sz w:val="10"/>
          <w:szCs w:val="10"/>
        </w:rPr>
      </w:pPr>
    </w:p>
    <w:p w14:paraId="0ADFCFD9" w14:textId="77777777" w:rsidR="00CD46AA" w:rsidRDefault="00CD46AA" w:rsidP="00EE0A39">
      <w:pPr>
        <w:spacing w:after="0" w:line="240" w:lineRule="auto"/>
        <w:jc w:val="both"/>
        <w:rPr>
          <w:rFonts w:ascii="Times New Roman" w:eastAsia="Calibri" w:hAnsi="Times New Roman" w:cs="Times New Roman"/>
          <w:bCs/>
          <w:color w:val="000000" w:themeColor="text1"/>
          <w:sz w:val="10"/>
          <w:szCs w:val="10"/>
        </w:rPr>
      </w:pPr>
    </w:p>
    <w:p w14:paraId="65E43892" w14:textId="77777777" w:rsidR="00CD46AA" w:rsidRDefault="00CD46AA" w:rsidP="00EE0A39">
      <w:pPr>
        <w:spacing w:after="0" w:line="240" w:lineRule="auto"/>
        <w:jc w:val="both"/>
        <w:rPr>
          <w:rFonts w:ascii="Times New Roman" w:eastAsia="Calibri" w:hAnsi="Times New Roman" w:cs="Times New Roman"/>
          <w:bCs/>
          <w:color w:val="000000" w:themeColor="text1"/>
          <w:sz w:val="10"/>
          <w:szCs w:val="10"/>
        </w:rPr>
      </w:pPr>
    </w:p>
    <w:p w14:paraId="6585612C" w14:textId="77777777" w:rsidR="00CD46AA" w:rsidRDefault="00CD46AA" w:rsidP="00EE0A39">
      <w:pPr>
        <w:spacing w:after="0" w:line="240" w:lineRule="auto"/>
        <w:jc w:val="both"/>
        <w:rPr>
          <w:rFonts w:ascii="Times New Roman" w:eastAsia="Calibri" w:hAnsi="Times New Roman" w:cs="Times New Roman"/>
          <w:bCs/>
          <w:color w:val="000000" w:themeColor="text1"/>
          <w:sz w:val="10"/>
          <w:szCs w:val="10"/>
        </w:rPr>
      </w:pPr>
    </w:p>
    <w:p w14:paraId="66326E74" w14:textId="77777777" w:rsidR="00CD46AA" w:rsidRDefault="00CD46AA" w:rsidP="00EE0A39">
      <w:pPr>
        <w:spacing w:after="0" w:line="240" w:lineRule="auto"/>
        <w:jc w:val="both"/>
        <w:rPr>
          <w:rFonts w:ascii="Times New Roman" w:eastAsia="Calibri" w:hAnsi="Times New Roman" w:cs="Times New Roman"/>
          <w:bCs/>
          <w:color w:val="000000" w:themeColor="text1"/>
          <w:sz w:val="10"/>
          <w:szCs w:val="10"/>
        </w:rPr>
      </w:pPr>
    </w:p>
    <w:p w14:paraId="755864E1" w14:textId="77777777" w:rsidR="00BD09C6" w:rsidRDefault="00BD09C6" w:rsidP="00EE0A39">
      <w:pPr>
        <w:spacing w:after="0" w:line="240" w:lineRule="auto"/>
        <w:jc w:val="both"/>
        <w:rPr>
          <w:rFonts w:ascii="Times New Roman" w:eastAsia="Calibri" w:hAnsi="Times New Roman" w:cs="Times New Roman"/>
          <w:bCs/>
          <w:color w:val="000000" w:themeColor="text1"/>
          <w:sz w:val="10"/>
          <w:szCs w:val="10"/>
        </w:rPr>
      </w:pPr>
    </w:p>
    <w:p w14:paraId="6BF81E00" w14:textId="77777777" w:rsidR="00BD09C6" w:rsidRDefault="00BD09C6" w:rsidP="00EE0A39">
      <w:pPr>
        <w:spacing w:after="0" w:line="240" w:lineRule="auto"/>
        <w:jc w:val="both"/>
        <w:rPr>
          <w:rFonts w:ascii="Times New Roman" w:eastAsia="Calibri" w:hAnsi="Times New Roman" w:cs="Times New Roman"/>
          <w:bCs/>
          <w:color w:val="000000" w:themeColor="text1"/>
          <w:sz w:val="10"/>
          <w:szCs w:val="10"/>
        </w:rPr>
      </w:pPr>
    </w:p>
    <w:p w14:paraId="4CF9CB65" w14:textId="77777777" w:rsidR="009B17A8" w:rsidRDefault="009B17A8" w:rsidP="00EE0A39">
      <w:pPr>
        <w:spacing w:after="0" w:line="240" w:lineRule="auto"/>
        <w:jc w:val="both"/>
        <w:rPr>
          <w:rFonts w:ascii="Times New Roman" w:eastAsia="Calibri" w:hAnsi="Times New Roman" w:cs="Times New Roman"/>
          <w:bCs/>
          <w:color w:val="000000" w:themeColor="text1"/>
          <w:sz w:val="10"/>
          <w:szCs w:val="10"/>
        </w:rPr>
      </w:pPr>
    </w:p>
    <w:p w14:paraId="6BE9BF9E" w14:textId="77777777" w:rsidR="009B17A8" w:rsidRDefault="009B17A8" w:rsidP="00EE0A39">
      <w:pPr>
        <w:spacing w:after="0" w:line="240" w:lineRule="auto"/>
        <w:jc w:val="both"/>
        <w:rPr>
          <w:rFonts w:ascii="Times New Roman" w:eastAsia="Calibri" w:hAnsi="Times New Roman" w:cs="Times New Roman"/>
          <w:bCs/>
          <w:color w:val="000000" w:themeColor="text1"/>
          <w:sz w:val="10"/>
          <w:szCs w:val="10"/>
        </w:rPr>
      </w:pPr>
    </w:p>
    <w:p w14:paraId="30A9A2BF" w14:textId="77777777" w:rsidR="00BD09C6" w:rsidRDefault="00BD09C6" w:rsidP="00EE0A39">
      <w:pPr>
        <w:spacing w:after="0" w:line="240" w:lineRule="auto"/>
        <w:jc w:val="both"/>
        <w:rPr>
          <w:rFonts w:ascii="Times New Roman" w:eastAsia="Calibri" w:hAnsi="Times New Roman" w:cs="Times New Roman"/>
          <w:bCs/>
          <w:color w:val="000000" w:themeColor="text1"/>
          <w:sz w:val="10"/>
          <w:szCs w:val="10"/>
        </w:rPr>
      </w:pPr>
    </w:p>
    <w:p w14:paraId="7156C4B2" w14:textId="77777777" w:rsidR="00BD09C6" w:rsidRDefault="00BD09C6" w:rsidP="00EE0A39">
      <w:pPr>
        <w:spacing w:after="0" w:line="240" w:lineRule="auto"/>
        <w:jc w:val="both"/>
        <w:rPr>
          <w:rFonts w:ascii="Times New Roman" w:eastAsia="Calibri" w:hAnsi="Times New Roman" w:cs="Times New Roman"/>
          <w:bCs/>
          <w:color w:val="000000" w:themeColor="text1"/>
          <w:sz w:val="10"/>
          <w:szCs w:val="10"/>
        </w:rPr>
      </w:pPr>
    </w:p>
    <w:p w14:paraId="22CE4397" w14:textId="77777777" w:rsidR="00BD09C6" w:rsidRDefault="00BD09C6" w:rsidP="00EE0A39">
      <w:pPr>
        <w:spacing w:after="0" w:line="240" w:lineRule="auto"/>
        <w:jc w:val="both"/>
        <w:rPr>
          <w:rFonts w:ascii="Times New Roman" w:eastAsia="Calibri" w:hAnsi="Times New Roman" w:cs="Times New Roman"/>
          <w:bCs/>
          <w:color w:val="000000" w:themeColor="text1"/>
          <w:sz w:val="10"/>
          <w:szCs w:val="10"/>
        </w:rPr>
      </w:pPr>
    </w:p>
    <w:p w14:paraId="4E8B8525" w14:textId="77777777" w:rsidR="00BD09C6" w:rsidRDefault="00BD09C6" w:rsidP="00EE0A39">
      <w:pPr>
        <w:spacing w:after="0" w:line="240" w:lineRule="auto"/>
        <w:jc w:val="both"/>
        <w:rPr>
          <w:rFonts w:ascii="Times New Roman" w:eastAsia="Calibri" w:hAnsi="Times New Roman" w:cs="Times New Roman"/>
          <w:bCs/>
          <w:color w:val="000000" w:themeColor="text1"/>
          <w:sz w:val="10"/>
          <w:szCs w:val="10"/>
        </w:rPr>
      </w:pPr>
    </w:p>
    <w:p w14:paraId="13895971" w14:textId="77777777" w:rsidR="00BD09C6" w:rsidRDefault="00BD09C6" w:rsidP="00EE0A39">
      <w:pPr>
        <w:spacing w:after="0" w:line="240" w:lineRule="auto"/>
        <w:jc w:val="both"/>
        <w:rPr>
          <w:rFonts w:ascii="Times New Roman" w:eastAsia="Calibri" w:hAnsi="Times New Roman" w:cs="Times New Roman"/>
          <w:bCs/>
          <w:color w:val="000000" w:themeColor="text1"/>
          <w:sz w:val="10"/>
          <w:szCs w:val="10"/>
        </w:rPr>
      </w:pPr>
    </w:p>
    <w:p w14:paraId="489990A7" w14:textId="597FB681" w:rsidR="001949FC" w:rsidRPr="00BA60A2" w:rsidRDefault="00BD09C6" w:rsidP="00EE0A39">
      <w:pPr>
        <w:spacing w:after="0" w:line="240" w:lineRule="auto"/>
        <w:jc w:val="both"/>
        <w:rPr>
          <w:rFonts w:ascii="Times New Roman" w:hAnsi="Times New Roman" w:cs="Times New Roman"/>
          <w:color w:val="000000" w:themeColor="text1"/>
          <w:sz w:val="24"/>
          <w:szCs w:val="24"/>
        </w:rPr>
      </w:pPr>
      <w:r w:rsidRPr="0009558F">
        <w:rPr>
          <w:rFonts w:ascii="Times New Roman" w:eastAsia="Calibri" w:hAnsi="Times New Roman" w:cs="Times New Roman"/>
          <w:bCs/>
          <w:color w:val="000000" w:themeColor="text1"/>
          <w:sz w:val="10"/>
          <w:szCs w:val="10"/>
        </w:rPr>
        <w:t xml:space="preserve">Red. Tehn. </w:t>
      </w:r>
      <w:r>
        <w:rPr>
          <w:rFonts w:ascii="Times New Roman" w:eastAsia="Calibri" w:hAnsi="Times New Roman" w:cs="Times New Roman"/>
          <w:bCs/>
          <w:color w:val="000000" w:themeColor="text1"/>
          <w:sz w:val="10"/>
          <w:szCs w:val="10"/>
        </w:rPr>
        <w:t>R.L.L</w:t>
      </w:r>
      <w:r w:rsidRPr="0009558F">
        <w:rPr>
          <w:rFonts w:ascii="Times New Roman" w:eastAsia="Calibri" w:hAnsi="Times New Roman" w:cs="Times New Roman"/>
          <w:bCs/>
          <w:color w:val="000000" w:themeColor="text1"/>
          <w:sz w:val="10"/>
          <w:szCs w:val="10"/>
        </w:rPr>
        <w:t>../</w:t>
      </w:r>
      <w:r w:rsidRPr="0009558F">
        <w:rPr>
          <w:rFonts w:ascii="Times New Roman" w:eastAsia="Calibri" w:hAnsi="Times New Roman" w:cs="Times New Roman"/>
          <w:color w:val="000000" w:themeColor="text1"/>
          <w:sz w:val="10"/>
          <w:szCs w:val="10"/>
        </w:rPr>
        <w:t xml:space="preserve">Exemplare </w:t>
      </w:r>
      <w:r>
        <w:rPr>
          <w:rFonts w:ascii="Times New Roman" w:eastAsia="Calibri" w:hAnsi="Times New Roman" w:cs="Times New Roman"/>
          <w:color w:val="000000" w:themeColor="text1"/>
          <w:sz w:val="10"/>
          <w:szCs w:val="10"/>
        </w:rPr>
        <w:t>5</w:t>
      </w:r>
    </w:p>
    <w:sectPr w:rsidR="001949FC" w:rsidRPr="00BA60A2" w:rsidSect="00BA60A2">
      <w:pgSz w:w="12240" w:h="15840" w:code="1"/>
      <w:pgMar w:top="720" w:right="758" w:bottom="426" w:left="851" w:header="567" w:footer="567"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C4E21" w14:textId="77777777" w:rsidR="0046239B" w:rsidRDefault="0046239B" w:rsidP="004E3AA3">
      <w:pPr>
        <w:spacing w:after="0" w:line="240" w:lineRule="auto"/>
      </w:pPr>
      <w:r>
        <w:separator/>
      </w:r>
    </w:p>
  </w:endnote>
  <w:endnote w:type="continuationSeparator" w:id="0">
    <w:p w14:paraId="01CB71A0" w14:textId="77777777" w:rsidR="0046239B" w:rsidRDefault="0046239B" w:rsidP="004E3A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61771" w14:textId="77777777" w:rsidR="0046239B" w:rsidRDefault="0046239B" w:rsidP="004E3AA3">
      <w:pPr>
        <w:spacing w:after="0" w:line="240" w:lineRule="auto"/>
      </w:pPr>
      <w:r>
        <w:separator/>
      </w:r>
    </w:p>
  </w:footnote>
  <w:footnote w:type="continuationSeparator" w:id="0">
    <w:p w14:paraId="4C15B151" w14:textId="77777777" w:rsidR="0046239B" w:rsidRDefault="0046239B" w:rsidP="004E3A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CC6B14"/>
    <w:multiLevelType w:val="hybridMultilevel"/>
    <w:tmpl w:val="3BF0E2C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49115539"/>
    <w:multiLevelType w:val="hybridMultilevel"/>
    <w:tmpl w:val="4B22BF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EEE0056"/>
    <w:multiLevelType w:val="hybridMultilevel"/>
    <w:tmpl w:val="30C68BCA"/>
    <w:lvl w:ilvl="0" w:tplc="5AB64E52">
      <w:start w:val="5"/>
      <w:numFmt w:val="bullet"/>
      <w:lvlText w:val="-"/>
      <w:lvlJc w:val="left"/>
      <w:pPr>
        <w:ind w:left="990" w:hanging="360"/>
      </w:pPr>
      <w:rPr>
        <w:rFonts w:ascii="Times New Roman" w:eastAsia="Calibri" w:hAnsi="Times New Roman" w:cs="Times New Roman" w:hint="default"/>
        <w:b w:val="0"/>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16cid:durableId="354577750">
    <w:abstractNumId w:val="2"/>
  </w:num>
  <w:num w:numId="2" w16cid:durableId="1716080470">
    <w:abstractNumId w:val="0"/>
  </w:num>
  <w:num w:numId="3" w16cid:durableId="166181417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6"/>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D4B"/>
    <w:rsid w:val="00014878"/>
    <w:rsid w:val="00015DC7"/>
    <w:rsid w:val="000315A4"/>
    <w:rsid w:val="0003170A"/>
    <w:rsid w:val="00041DB1"/>
    <w:rsid w:val="00042285"/>
    <w:rsid w:val="00051A85"/>
    <w:rsid w:val="00051C3B"/>
    <w:rsid w:val="00060EE5"/>
    <w:rsid w:val="00062986"/>
    <w:rsid w:val="00070850"/>
    <w:rsid w:val="00073E46"/>
    <w:rsid w:val="00074AA2"/>
    <w:rsid w:val="000804B0"/>
    <w:rsid w:val="00086F51"/>
    <w:rsid w:val="00087D06"/>
    <w:rsid w:val="0009558F"/>
    <w:rsid w:val="00097709"/>
    <w:rsid w:val="00097AA4"/>
    <w:rsid w:val="000A02A9"/>
    <w:rsid w:val="000A41A2"/>
    <w:rsid w:val="000A604B"/>
    <w:rsid w:val="000A69E8"/>
    <w:rsid w:val="000B1B55"/>
    <w:rsid w:val="000D0BF1"/>
    <w:rsid w:val="000D4975"/>
    <w:rsid w:val="000E0E4D"/>
    <w:rsid w:val="000E5BDD"/>
    <w:rsid w:val="00102D4B"/>
    <w:rsid w:val="00106941"/>
    <w:rsid w:val="0011182C"/>
    <w:rsid w:val="00113096"/>
    <w:rsid w:val="00117D9D"/>
    <w:rsid w:val="00125019"/>
    <w:rsid w:val="001257DC"/>
    <w:rsid w:val="00126B4C"/>
    <w:rsid w:val="00127FE3"/>
    <w:rsid w:val="0013144B"/>
    <w:rsid w:val="00136201"/>
    <w:rsid w:val="00142BC9"/>
    <w:rsid w:val="0015203D"/>
    <w:rsid w:val="001653E1"/>
    <w:rsid w:val="001813F5"/>
    <w:rsid w:val="0018301B"/>
    <w:rsid w:val="001949FC"/>
    <w:rsid w:val="001965B8"/>
    <w:rsid w:val="0019681B"/>
    <w:rsid w:val="00196C7D"/>
    <w:rsid w:val="001A3F8B"/>
    <w:rsid w:val="001B73F6"/>
    <w:rsid w:val="001C2007"/>
    <w:rsid w:val="001C6A00"/>
    <w:rsid w:val="00201DA1"/>
    <w:rsid w:val="00205C09"/>
    <w:rsid w:val="0020706D"/>
    <w:rsid w:val="002159BD"/>
    <w:rsid w:val="0023146F"/>
    <w:rsid w:val="00234CF6"/>
    <w:rsid w:val="00251400"/>
    <w:rsid w:val="002553F0"/>
    <w:rsid w:val="002707D1"/>
    <w:rsid w:val="0027184F"/>
    <w:rsid w:val="002760FA"/>
    <w:rsid w:val="00283766"/>
    <w:rsid w:val="00285121"/>
    <w:rsid w:val="00292ED5"/>
    <w:rsid w:val="002A4532"/>
    <w:rsid w:val="002A5AE8"/>
    <w:rsid w:val="002A7250"/>
    <w:rsid w:val="002B2FE1"/>
    <w:rsid w:val="002B373C"/>
    <w:rsid w:val="002B6A2F"/>
    <w:rsid w:val="002C092A"/>
    <w:rsid w:val="002C0B97"/>
    <w:rsid w:val="002C4479"/>
    <w:rsid w:val="002C789D"/>
    <w:rsid w:val="002D1764"/>
    <w:rsid w:val="002E1078"/>
    <w:rsid w:val="002E1878"/>
    <w:rsid w:val="002E1CB5"/>
    <w:rsid w:val="002E4BAF"/>
    <w:rsid w:val="002E5E49"/>
    <w:rsid w:val="00302DDA"/>
    <w:rsid w:val="00303D4C"/>
    <w:rsid w:val="00310541"/>
    <w:rsid w:val="00312660"/>
    <w:rsid w:val="00321AE1"/>
    <w:rsid w:val="00321BE0"/>
    <w:rsid w:val="0032355C"/>
    <w:rsid w:val="00324768"/>
    <w:rsid w:val="003368CF"/>
    <w:rsid w:val="00336960"/>
    <w:rsid w:val="003566D9"/>
    <w:rsid w:val="00377720"/>
    <w:rsid w:val="00385B62"/>
    <w:rsid w:val="0039303F"/>
    <w:rsid w:val="003A0B26"/>
    <w:rsid w:val="003A211D"/>
    <w:rsid w:val="003A2125"/>
    <w:rsid w:val="003A22C1"/>
    <w:rsid w:val="003A38DE"/>
    <w:rsid w:val="003A65B9"/>
    <w:rsid w:val="003B4C1C"/>
    <w:rsid w:val="003C063B"/>
    <w:rsid w:val="003C2565"/>
    <w:rsid w:val="003C7F41"/>
    <w:rsid w:val="003D1AE0"/>
    <w:rsid w:val="003D2B1E"/>
    <w:rsid w:val="003D30FF"/>
    <w:rsid w:val="003D3A03"/>
    <w:rsid w:val="003D6C66"/>
    <w:rsid w:val="003E15DB"/>
    <w:rsid w:val="003E26B7"/>
    <w:rsid w:val="003E2D8F"/>
    <w:rsid w:val="003F5D5B"/>
    <w:rsid w:val="003F7615"/>
    <w:rsid w:val="003F7C61"/>
    <w:rsid w:val="004008E3"/>
    <w:rsid w:val="00414221"/>
    <w:rsid w:val="00416152"/>
    <w:rsid w:val="00416D20"/>
    <w:rsid w:val="004205F4"/>
    <w:rsid w:val="00420A2E"/>
    <w:rsid w:val="00421B95"/>
    <w:rsid w:val="00437460"/>
    <w:rsid w:val="00442438"/>
    <w:rsid w:val="004506F8"/>
    <w:rsid w:val="00456D6E"/>
    <w:rsid w:val="00456DC5"/>
    <w:rsid w:val="0046239B"/>
    <w:rsid w:val="004653E9"/>
    <w:rsid w:val="00465890"/>
    <w:rsid w:val="00480E3E"/>
    <w:rsid w:val="004841A0"/>
    <w:rsid w:val="004931D8"/>
    <w:rsid w:val="00493892"/>
    <w:rsid w:val="004A079A"/>
    <w:rsid w:val="004B3D2D"/>
    <w:rsid w:val="004B7838"/>
    <w:rsid w:val="004C3783"/>
    <w:rsid w:val="004D10E7"/>
    <w:rsid w:val="004D2A37"/>
    <w:rsid w:val="004E3AA3"/>
    <w:rsid w:val="004F481F"/>
    <w:rsid w:val="004F7B86"/>
    <w:rsid w:val="005010AE"/>
    <w:rsid w:val="005046ED"/>
    <w:rsid w:val="005056D7"/>
    <w:rsid w:val="00536618"/>
    <w:rsid w:val="00541F12"/>
    <w:rsid w:val="00542C64"/>
    <w:rsid w:val="0054462A"/>
    <w:rsid w:val="0055798C"/>
    <w:rsid w:val="005640B1"/>
    <w:rsid w:val="00566019"/>
    <w:rsid w:val="0057426A"/>
    <w:rsid w:val="0058199D"/>
    <w:rsid w:val="00584783"/>
    <w:rsid w:val="00591544"/>
    <w:rsid w:val="00592057"/>
    <w:rsid w:val="00593C0C"/>
    <w:rsid w:val="00595D63"/>
    <w:rsid w:val="00596D24"/>
    <w:rsid w:val="005A3BC6"/>
    <w:rsid w:val="005A5D47"/>
    <w:rsid w:val="005A752C"/>
    <w:rsid w:val="005B53A8"/>
    <w:rsid w:val="005C2912"/>
    <w:rsid w:val="005C291A"/>
    <w:rsid w:val="005C2E42"/>
    <w:rsid w:val="005C44B2"/>
    <w:rsid w:val="005C6150"/>
    <w:rsid w:val="005C777F"/>
    <w:rsid w:val="005D5D50"/>
    <w:rsid w:val="005D6F79"/>
    <w:rsid w:val="005D7694"/>
    <w:rsid w:val="005E0C06"/>
    <w:rsid w:val="005E39ED"/>
    <w:rsid w:val="005E5008"/>
    <w:rsid w:val="005E5C2F"/>
    <w:rsid w:val="005E65E9"/>
    <w:rsid w:val="006002F5"/>
    <w:rsid w:val="00600B53"/>
    <w:rsid w:val="00602EE2"/>
    <w:rsid w:val="006132B4"/>
    <w:rsid w:val="00615F05"/>
    <w:rsid w:val="00621AC5"/>
    <w:rsid w:val="0062477A"/>
    <w:rsid w:val="0064592A"/>
    <w:rsid w:val="00653BE2"/>
    <w:rsid w:val="00656AE0"/>
    <w:rsid w:val="00657E1F"/>
    <w:rsid w:val="0066217B"/>
    <w:rsid w:val="00662DC5"/>
    <w:rsid w:val="00666DB8"/>
    <w:rsid w:val="006721CA"/>
    <w:rsid w:val="00686E3B"/>
    <w:rsid w:val="00697008"/>
    <w:rsid w:val="006A1DAF"/>
    <w:rsid w:val="006A61A3"/>
    <w:rsid w:val="006B34EF"/>
    <w:rsid w:val="006B5A0A"/>
    <w:rsid w:val="006B6E8F"/>
    <w:rsid w:val="006B7605"/>
    <w:rsid w:val="006B79C9"/>
    <w:rsid w:val="006B7BB0"/>
    <w:rsid w:val="006C2293"/>
    <w:rsid w:val="006D5421"/>
    <w:rsid w:val="006D6635"/>
    <w:rsid w:val="006E1082"/>
    <w:rsid w:val="006E109B"/>
    <w:rsid w:val="006F22C5"/>
    <w:rsid w:val="006F574D"/>
    <w:rsid w:val="006F6376"/>
    <w:rsid w:val="0071134C"/>
    <w:rsid w:val="007174F7"/>
    <w:rsid w:val="00721EBF"/>
    <w:rsid w:val="00733948"/>
    <w:rsid w:val="007357F0"/>
    <w:rsid w:val="00737943"/>
    <w:rsid w:val="00741B15"/>
    <w:rsid w:val="007454AA"/>
    <w:rsid w:val="00757AB2"/>
    <w:rsid w:val="00760312"/>
    <w:rsid w:val="0077693C"/>
    <w:rsid w:val="00780275"/>
    <w:rsid w:val="007816CE"/>
    <w:rsid w:val="00783EAE"/>
    <w:rsid w:val="0079162B"/>
    <w:rsid w:val="007B167D"/>
    <w:rsid w:val="007B27CA"/>
    <w:rsid w:val="007B37A5"/>
    <w:rsid w:val="007B5C9C"/>
    <w:rsid w:val="007B7AB3"/>
    <w:rsid w:val="007B7F28"/>
    <w:rsid w:val="007C7D04"/>
    <w:rsid w:val="007D198C"/>
    <w:rsid w:val="007D4513"/>
    <w:rsid w:val="007E74AB"/>
    <w:rsid w:val="007E77C7"/>
    <w:rsid w:val="00802E30"/>
    <w:rsid w:val="00807962"/>
    <w:rsid w:val="008221F5"/>
    <w:rsid w:val="008432DC"/>
    <w:rsid w:val="008511D4"/>
    <w:rsid w:val="00851517"/>
    <w:rsid w:val="008564C7"/>
    <w:rsid w:val="008652EB"/>
    <w:rsid w:val="00870F0A"/>
    <w:rsid w:val="00872A10"/>
    <w:rsid w:val="0087653B"/>
    <w:rsid w:val="00877323"/>
    <w:rsid w:val="00887558"/>
    <w:rsid w:val="008929F9"/>
    <w:rsid w:val="008939E5"/>
    <w:rsid w:val="008A5AB8"/>
    <w:rsid w:val="008B591E"/>
    <w:rsid w:val="008B71C8"/>
    <w:rsid w:val="008C2215"/>
    <w:rsid w:val="008C619D"/>
    <w:rsid w:val="008C6EAE"/>
    <w:rsid w:val="008D492F"/>
    <w:rsid w:val="008E01E6"/>
    <w:rsid w:val="008F0215"/>
    <w:rsid w:val="008F3A7C"/>
    <w:rsid w:val="00903B1A"/>
    <w:rsid w:val="00912550"/>
    <w:rsid w:val="00921B9A"/>
    <w:rsid w:val="00922078"/>
    <w:rsid w:val="009334E4"/>
    <w:rsid w:val="00937E95"/>
    <w:rsid w:val="0094083F"/>
    <w:rsid w:val="00942166"/>
    <w:rsid w:val="0095515B"/>
    <w:rsid w:val="0095716F"/>
    <w:rsid w:val="00960134"/>
    <w:rsid w:val="00964DD5"/>
    <w:rsid w:val="00967AAD"/>
    <w:rsid w:val="0097243B"/>
    <w:rsid w:val="0097320C"/>
    <w:rsid w:val="0097402D"/>
    <w:rsid w:val="00975B9A"/>
    <w:rsid w:val="009767D8"/>
    <w:rsid w:val="009767F8"/>
    <w:rsid w:val="0097747C"/>
    <w:rsid w:val="009779C2"/>
    <w:rsid w:val="00983507"/>
    <w:rsid w:val="00995F3B"/>
    <w:rsid w:val="00996D04"/>
    <w:rsid w:val="009A0273"/>
    <w:rsid w:val="009A6D22"/>
    <w:rsid w:val="009A7858"/>
    <w:rsid w:val="009B17A8"/>
    <w:rsid w:val="009B7F58"/>
    <w:rsid w:val="009D3D95"/>
    <w:rsid w:val="009E3CCE"/>
    <w:rsid w:val="00A03EB2"/>
    <w:rsid w:val="00A12F94"/>
    <w:rsid w:val="00A14CA3"/>
    <w:rsid w:val="00A20BEF"/>
    <w:rsid w:val="00A30577"/>
    <w:rsid w:val="00A34B73"/>
    <w:rsid w:val="00A35EB8"/>
    <w:rsid w:val="00A36036"/>
    <w:rsid w:val="00A40951"/>
    <w:rsid w:val="00A430A9"/>
    <w:rsid w:val="00A503EC"/>
    <w:rsid w:val="00A518D6"/>
    <w:rsid w:val="00A574EA"/>
    <w:rsid w:val="00A65995"/>
    <w:rsid w:val="00A724BA"/>
    <w:rsid w:val="00A736DB"/>
    <w:rsid w:val="00A858C5"/>
    <w:rsid w:val="00A86CDF"/>
    <w:rsid w:val="00A91F71"/>
    <w:rsid w:val="00A92543"/>
    <w:rsid w:val="00AA1487"/>
    <w:rsid w:val="00AA5C25"/>
    <w:rsid w:val="00AB5C97"/>
    <w:rsid w:val="00AC0717"/>
    <w:rsid w:val="00AC0895"/>
    <w:rsid w:val="00AC1D96"/>
    <w:rsid w:val="00AC2723"/>
    <w:rsid w:val="00AD7819"/>
    <w:rsid w:val="00AE2E51"/>
    <w:rsid w:val="00AE30CE"/>
    <w:rsid w:val="00AE4EBD"/>
    <w:rsid w:val="00AE6ED8"/>
    <w:rsid w:val="00AF0F76"/>
    <w:rsid w:val="00AF175E"/>
    <w:rsid w:val="00AF21A0"/>
    <w:rsid w:val="00B0068E"/>
    <w:rsid w:val="00B02720"/>
    <w:rsid w:val="00B06EED"/>
    <w:rsid w:val="00B130AD"/>
    <w:rsid w:val="00B2674A"/>
    <w:rsid w:val="00B30064"/>
    <w:rsid w:val="00B4298B"/>
    <w:rsid w:val="00B452A9"/>
    <w:rsid w:val="00B50FB6"/>
    <w:rsid w:val="00B77968"/>
    <w:rsid w:val="00B87892"/>
    <w:rsid w:val="00B9687C"/>
    <w:rsid w:val="00BA60A2"/>
    <w:rsid w:val="00BB7CDB"/>
    <w:rsid w:val="00BD09C6"/>
    <w:rsid w:val="00BD1028"/>
    <w:rsid w:val="00BD103C"/>
    <w:rsid w:val="00BD74C6"/>
    <w:rsid w:val="00BE0976"/>
    <w:rsid w:val="00BE38AE"/>
    <w:rsid w:val="00BE5526"/>
    <w:rsid w:val="00BF6CA3"/>
    <w:rsid w:val="00C046F6"/>
    <w:rsid w:val="00C11EB5"/>
    <w:rsid w:val="00C13635"/>
    <w:rsid w:val="00C14169"/>
    <w:rsid w:val="00C25361"/>
    <w:rsid w:val="00C32C8B"/>
    <w:rsid w:val="00C35F06"/>
    <w:rsid w:val="00C376E3"/>
    <w:rsid w:val="00C37968"/>
    <w:rsid w:val="00C403A4"/>
    <w:rsid w:val="00C413B7"/>
    <w:rsid w:val="00C46108"/>
    <w:rsid w:val="00C505FA"/>
    <w:rsid w:val="00C558F6"/>
    <w:rsid w:val="00C561EA"/>
    <w:rsid w:val="00C57CFB"/>
    <w:rsid w:val="00C61AAD"/>
    <w:rsid w:val="00C63D5A"/>
    <w:rsid w:val="00C660A4"/>
    <w:rsid w:val="00C701D0"/>
    <w:rsid w:val="00C864C1"/>
    <w:rsid w:val="00C94C39"/>
    <w:rsid w:val="00C95FBB"/>
    <w:rsid w:val="00CA0CF4"/>
    <w:rsid w:val="00CA7ECA"/>
    <w:rsid w:val="00CC0CF0"/>
    <w:rsid w:val="00CC1F62"/>
    <w:rsid w:val="00CC7EA7"/>
    <w:rsid w:val="00CD46AA"/>
    <w:rsid w:val="00CD5E88"/>
    <w:rsid w:val="00CD602E"/>
    <w:rsid w:val="00CE1CCB"/>
    <w:rsid w:val="00CE590A"/>
    <w:rsid w:val="00CF0829"/>
    <w:rsid w:val="00D0691E"/>
    <w:rsid w:val="00D11957"/>
    <w:rsid w:val="00D13FDE"/>
    <w:rsid w:val="00D14AFD"/>
    <w:rsid w:val="00D150BF"/>
    <w:rsid w:val="00D16D1D"/>
    <w:rsid w:val="00D278B8"/>
    <w:rsid w:val="00D31A21"/>
    <w:rsid w:val="00D6187C"/>
    <w:rsid w:val="00D6210F"/>
    <w:rsid w:val="00D679BF"/>
    <w:rsid w:val="00D70B8B"/>
    <w:rsid w:val="00D72E5B"/>
    <w:rsid w:val="00D7400D"/>
    <w:rsid w:val="00D75EAE"/>
    <w:rsid w:val="00D92E24"/>
    <w:rsid w:val="00D92F79"/>
    <w:rsid w:val="00DA4BC6"/>
    <w:rsid w:val="00DA5235"/>
    <w:rsid w:val="00DA5323"/>
    <w:rsid w:val="00DB0D51"/>
    <w:rsid w:val="00DC1793"/>
    <w:rsid w:val="00DC5BC0"/>
    <w:rsid w:val="00DD516A"/>
    <w:rsid w:val="00DD5197"/>
    <w:rsid w:val="00DE0255"/>
    <w:rsid w:val="00DE4651"/>
    <w:rsid w:val="00DF4548"/>
    <w:rsid w:val="00E05F82"/>
    <w:rsid w:val="00E0650F"/>
    <w:rsid w:val="00E13CF1"/>
    <w:rsid w:val="00E1439C"/>
    <w:rsid w:val="00E20EC3"/>
    <w:rsid w:val="00E30347"/>
    <w:rsid w:val="00E339FF"/>
    <w:rsid w:val="00E363DB"/>
    <w:rsid w:val="00E42E7F"/>
    <w:rsid w:val="00E444E1"/>
    <w:rsid w:val="00E46A7B"/>
    <w:rsid w:val="00E54E43"/>
    <w:rsid w:val="00E61E52"/>
    <w:rsid w:val="00E66768"/>
    <w:rsid w:val="00E70D19"/>
    <w:rsid w:val="00E72708"/>
    <w:rsid w:val="00E73282"/>
    <w:rsid w:val="00E74338"/>
    <w:rsid w:val="00E84173"/>
    <w:rsid w:val="00E962FF"/>
    <w:rsid w:val="00E97336"/>
    <w:rsid w:val="00E977F5"/>
    <w:rsid w:val="00EA6E43"/>
    <w:rsid w:val="00EB0BAF"/>
    <w:rsid w:val="00EC092A"/>
    <w:rsid w:val="00EC14D0"/>
    <w:rsid w:val="00ED280F"/>
    <w:rsid w:val="00ED6376"/>
    <w:rsid w:val="00EE0A39"/>
    <w:rsid w:val="00EE0E79"/>
    <w:rsid w:val="00EE16E3"/>
    <w:rsid w:val="00EE5342"/>
    <w:rsid w:val="00EF60D4"/>
    <w:rsid w:val="00F03810"/>
    <w:rsid w:val="00F15A9C"/>
    <w:rsid w:val="00F15DD4"/>
    <w:rsid w:val="00F1649A"/>
    <w:rsid w:val="00F17D84"/>
    <w:rsid w:val="00F200DD"/>
    <w:rsid w:val="00F2130E"/>
    <w:rsid w:val="00F22CC5"/>
    <w:rsid w:val="00F26EB5"/>
    <w:rsid w:val="00F27C56"/>
    <w:rsid w:val="00F312D3"/>
    <w:rsid w:val="00F331DA"/>
    <w:rsid w:val="00F40E89"/>
    <w:rsid w:val="00F41C59"/>
    <w:rsid w:val="00F457EF"/>
    <w:rsid w:val="00F52897"/>
    <w:rsid w:val="00F530A9"/>
    <w:rsid w:val="00F5701D"/>
    <w:rsid w:val="00F64480"/>
    <w:rsid w:val="00F6693D"/>
    <w:rsid w:val="00F7078A"/>
    <w:rsid w:val="00F710B2"/>
    <w:rsid w:val="00F71393"/>
    <w:rsid w:val="00F742FB"/>
    <w:rsid w:val="00F80D8B"/>
    <w:rsid w:val="00F81C16"/>
    <w:rsid w:val="00F92502"/>
    <w:rsid w:val="00F929B2"/>
    <w:rsid w:val="00F93D79"/>
    <w:rsid w:val="00FA29AD"/>
    <w:rsid w:val="00FA7C85"/>
    <w:rsid w:val="00FB4F91"/>
    <w:rsid w:val="00FB7003"/>
    <w:rsid w:val="00FB7EDD"/>
    <w:rsid w:val="00FC1DDA"/>
    <w:rsid w:val="00FC2A19"/>
    <w:rsid w:val="00FC4414"/>
    <w:rsid w:val="00FC500A"/>
    <w:rsid w:val="00FD138D"/>
    <w:rsid w:val="00FD3EBE"/>
    <w:rsid w:val="00FD44B6"/>
    <w:rsid w:val="00FD4C70"/>
    <w:rsid w:val="00FD7775"/>
    <w:rsid w:val="00FE58E3"/>
    <w:rsid w:val="00FE75BE"/>
    <w:rsid w:val="00FE7E0F"/>
    <w:rsid w:val="00FF78F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2D73B"/>
  <w15:docId w15:val="{E925669F-3E52-42EC-B79D-D80BF903F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60D4"/>
    <w:pPr>
      <w:keepNext/>
      <w:keepLines/>
      <w:spacing w:before="480" w:after="0" w:line="240" w:lineRule="auto"/>
      <w:outlineLvl w:val="0"/>
    </w:pPr>
    <w:rPr>
      <w:rFonts w:ascii="Cambria" w:eastAsia="Times New Roman" w:hAnsi="Cambria" w:cs="Times New Roman"/>
      <w:b/>
      <w:bCs/>
      <w:color w:val="365F91"/>
      <w:sz w:val="28"/>
      <w:szCs w:val="28"/>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11111,Normal bullet 2,body 2,List Paragraph1,List Paragraph11,List Paragraph111,List Paragraph1111,List Paragraph11111,Forth level,List1,Listă colorată - Accentuare 11,Bullet,Citation List,Header bold,bullets,EU,Arial"/>
    <w:basedOn w:val="Normal"/>
    <w:link w:val="ListParagraphChar"/>
    <w:uiPriority w:val="34"/>
    <w:qFormat/>
    <w:rsid w:val="002159BD"/>
    <w:pPr>
      <w:ind w:left="720"/>
      <w:contextualSpacing/>
    </w:pPr>
  </w:style>
  <w:style w:type="character" w:customStyle="1" w:styleId="ListParagraphChar">
    <w:name w:val="List Paragraph Char"/>
    <w:aliases w:val="List Paragraph111111 Char,Normal bullet 2 Char,body 2 Char,List Paragraph1 Char,List Paragraph11 Char,List Paragraph111 Char,List Paragraph1111 Char,List Paragraph11111 Char,Forth level Char,List1 Char,Bullet Char,Citation List Char"/>
    <w:link w:val="ListParagraph"/>
    <w:uiPriority w:val="99"/>
    <w:qFormat/>
    <w:locked/>
    <w:rsid w:val="003F5D5B"/>
  </w:style>
  <w:style w:type="paragraph" w:styleId="Header">
    <w:name w:val="header"/>
    <w:basedOn w:val="Normal"/>
    <w:link w:val="HeaderChar"/>
    <w:unhideWhenUsed/>
    <w:rsid w:val="004E3AA3"/>
    <w:pPr>
      <w:tabs>
        <w:tab w:val="center" w:pos="4536"/>
        <w:tab w:val="right" w:pos="9072"/>
      </w:tabs>
      <w:spacing w:after="0" w:line="240" w:lineRule="auto"/>
    </w:pPr>
  </w:style>
  <w:style w:type="character" w:customStyle="1" w:styleId="HeaderChar">
    <w:name w:val="Header Char"/>
    <w:basedOn w:val="DefaultParagraphFont"/>
    <w:link w:val="Header"/>
    <w:rsid w:val="004E3AA3"/>
  </w:style>
  <w:style w:type="paragraph" w:styleId="Footer">
    <w:name w:val="footer"/>
    <w:basedOn w:val="Normal"/>
    <w:link w:val="FooterChar"/>
    <w:uiPriority w:val="99"/>
    <w:unhideWhenUsed/>
    <w:rsid w:val="004E3AA3"/>
    <w:pPr>
      <w:tabs>
        <w:tab w:val="center" w:pos="4536"/>
        <w:tab w:val="right" w:pos="9072"/>
      </w:tabs>
      <w:spacing w:after="0" w:line="240" w:lineRule="auto"/>
    </w:pPr>
  </w:style>
  <w:style w:type="character" w:customStyle="1" w:styleId="FooterChar">
    <w:name w:val="Footer Char"/>
    <w:basedOn w:val="DefaultParagraphFont"/>
    <w:link w:val="Footer"/>
    <w:uiPriority w:val="99"/>
    <w:rsid w:val="004E3AA3"/>
  </w:style>
  <w:style w:type="character" w:customStyle="1" w:styleId="Heading1Char">
    <w:name w:val="Heading 1 Char"/>
    <w:basedOn w:val="DefaultParagraphFont"/>
    <w:link w:val="Heading1"/>
    <w:uiPriority w:val="9"/>
    <w:rsid w:val="00EF60D4"/>
    <w:rPr>
      <w:rFonts w:ascii="Cambria" w:eastAsia="Times New Roman" w:hAnsi="Cambria" w:cs="Times New Roman"/>
      <w:b/>
      <w:bCs/>
      <w:color w:val="365F91"/>
      <w:sz w:val="28"/>
      <w:szCs w:val="28"/>
      <w:lang w:eastAsia="ro-RO"/>
    </w:rPr>
  </w:style>
  <w:style w:type="character" w:customStyle="1" w:styleId="CaptionChar">
    <w:name w:val="Caption Char"/>
    <w:aliases w:val="Titlu Tabel Char,Caracter Caracter Char,Caracter Caracter Caracter Char1,Caracter Caracter Caracter Char Char Char,Caracter Caracter Caracter Char Char1,Map Char Char1,Map Char Char Char1,Map Char Char Char Char Char Char,Map Char1"/>
    <w:link w:val="Caption"/>
    <w:semiHidden/>
    <w:locked/>
    <w:rsid w:val="00EF60D4"/>
    <w:rPr>
      <w:rFonts w:ascii="Arial" w:eastAsia="Times New Roman" w:hAnsi="Arial" w:cs="Arial"/>
      <w:b/>
      <w:bCs/>
      <w:iCs/>
      <w:sz w:val="20"/>
      <w:lang w:val="en-GB" w:bidi="ro-RO"/>
    </w:rPr>
  </w:style>
  <w:style w:type="paragraph" w:styleId="Caption">
    <w:name w:val="caption"/>
    <w:aliases w:val="Titlu Tabel,Caracter Caracter,Caracter Caracter Caracter,Caracter Caracter Caracter Char Char,Caracter Caracter Caracter Char,Map Char,Map Char Char,Map Char Char Char Char Char,Map Char Char Char,Map,Caption Char Char Car Car,Caption1"/>
    <w:basedOn w:val="Normal"/>
    <w:next w:val="Normal"/>
    <w:link w:val="CaptionChar"/>
    <w:semiHidden/>
    <w:unhideWhenUsed/>
    <w:qFormat/>
    <w:rsid w:val="00EF60D4"/>
    <w:pPr>
      <w:autoSpaceDE w:val="0"/>
      <w:autoSpaceDN w:val="0"/>
      <w:adjustRightInd w:val="0"/>
      <w:spacing w:before="40" w:after="200" w:line="240" w:lineRule="atLeast"/>
      <w:ind w:right="-20"/>
      <w:jc w:val="both"/>
    </w:pPr>
    <w:rPr>
      <w:rFonts w:ascii="Arial" w:eastAsia="Times New Roman" w:hAnsi="Arial" w:cs="Arial"/>
      <w:b/>
      <w:bCs/>
      <w:iCs/>
      <w:sz w:val="20"/>
      <w:lang w:val="en-GB" w:bidi="ro-RO"/>
    </w:rPr>
  </w:style>
  <w:style w:type="paragraph" w:styleId="NoSpacing">
    <w:name w:val="No Spacing"/>
    <w:qFormat/>
    <w:rsid w:val="00EF60D4"/>
    <w:pPr>
      <w:spacing w:after="0" w:line="240" w:lineRule="auto"/>
    </w:pPr>
    <w:rPr>
      <w:rFonts w:ascii="Times New Roman" w:eastAsia="Times New Roman" w:hAnsi="Times New Roman" w:cs="Times New Roman"/>
      <w:sz w:val="24"/>
      <w:szCs w:val="24"/>
      <w:lang w:eastAsia="ro-RO"/>
    </w:rPr>
  </w:style>
  <w:style w:type="paragraph" w:customStyle="1" w:styleId="Default">
    <w:name w:val="Default"/>
    <w:rsid w:val="00EF60D4"/>
    <w:pPr>
      <w:autoSpaceDE w:val="0"/>
      <w:autoSpaceDN w:val="0"/>
      <w:adjustRightInd w:val="0"/>
      <w:spacing w:after="0" w:line="240" w:lineRule="auto"/>
    </w:pPr>
    <w:rPr>
      <w:rFonts w:ascii="Calibri" w:eastAsia="Calibri" w:hAnsi="Calibri" w:cs="Calibri"/>
      <w:color w:val="000000"/>
      <w:sz w:val="24"/>
      <w:szCs w:val="24"/>
    </w:rPr>
  </w:style>
  <w:style w:type="table" w:customStyle="1" w:styleId="TableGrid">
    <w:name w:val="TableGrid"/>
    <w:rsid w:val="00D72E5B"/>
    <w:pPr>
      <w:spacing w:after="0" w:line="240" w:lineRule="auto"/>
    </w:pPr>
    <w:rPr>
      <w:rFonts w:eastAsia="Times New Roman"/>
      <w:lang w:val="en-US"/>
    </w:rPr>
    <w:tblPr>
      <w:tblCellMar>
        <w:top w:w="0" w:type="dxa"/>
        <w:left w:w="0" w:type="dxa"/>
        <w:bottom w:w="0" w:type="dxa"/>
        <w:right w:w="0" w:type="dxa"/>
      </w:tblCellMar>
    </w:tblPr>
  </w:style>
  <w:style w:type="table" w:customStyle="1" w:styleId="TableGrid1">
    <w:name w:val="TableGrid1"/>
    <w:rsid w:val="00D72E5B"/>
    <w:pPr>
      <w:spacing w:after="0" w:line="240" w:lineRule="auto"/>
    </w:pPr>
    <w:rPr>
      <w:rFonts w:eastAsiaTheme="minorEastAsia"/>
      <w:lang w:val="en-US"/>
    </w:rPr>
    <w:tblPr>
      <w:tblCellMar>
        <w:top w:w="0" w:type="dxa"/>
        <w:left w:w="0" w:type="dxa"/>
        <w:bottom w:w="0" w:type="dxa"/>
        <w:right w:w="0" w:type="dxa"/>
      </w:tblCellMar>
    </w:tblPr>
  </w:style>
  <w:style w:type="table" w:customStyle="1" w:styleId="TableGrid2">
    <w:name w:val="TableGrid2"/>
    <w:rsid w:val="005E5C2F"/>
    <w:pPr>
      <w:spacing w:after="0" w:line="240" w:lineRule="auto"/>
    </w:pPr>
    <w:rPr>
      <w:rFonts w:eastAsiaTheme="minorEastAsia"/>
      <w:lang w:val="en-US"/>
    </w:rPr>
    <w:tblPr>
      <w:tblCellMar>
        <w:top w:w="0" w:type="dxa"/>
        <w:left w:w="0" w:type="dxa"/>
        <w:bottom w:w="0" w:type="dxa"/>
        <w:right w:w="0" w:type="dxa"/>
      </w:tblCellMar>
    </w:tblPr>
  </w:style>
  <w:style w:type="table" w:customStyle="1" w:styleId="TableGrid3">
    <w:name w:val="TableGrid3"/>
    <w:rsid w:val="005A3BC6"/>
    <w:pPr>
      <w:spacing w:after="0" w:line="240" w:lineRule="auto"/>
    </w:pPr>
    <w:rPr>
      <w:rFonts w:eastAsia="Times New Roman"/>
      <w:lang w:val="en-US"/>
    </w:rPr>
    <w:tblPr>
      <w:tblCellMar>
        <w:top w:w="0" w:type="dxa"/>
        <w:left w:w="0" w:type="dxa"/>
        <w:bottom w:w="0" w:type="dxa"/>
        <w:right w:w="0" w:type="dxa"/>
      </w:tblCellMar>
    </w:tblPr>
  </w:style>
  <w:style w:type="table" w:customStyle="1" w:styleId="TableGrid4">
    <w:name w:val="TableGrid4"/>
    <w:rsid w:val="005A3BC6"/>
    <w:pPr>
      <w:spacing w:after="0" w:line="240" w:lineRule="auto"/>
    </w:pPr>
    <w:rPr>
      <w:rFonts w:eastAsiaTheme="minorEastAsia"/>
      <w:lang w:val="en-US"/>
    </w:rPr>
    <w:tblPr>
      <w:tblCellMar>
        <w:top w:w="0" w:type="dxa"/>
        <w:left w:w="0" w:type="dxa"/>
        <w:bottom w:w="0" w:type="dxa"/>
        <w:right w:w="0" w:type="dxa"/>
      </w:tblCellMar>
    </w:tblPr>
  </w:style>
  <w:style w:type="table" w:customStyle="1" w:styleId="TableGrid5">
    <w:name w:val="TableGrid5"/>
    <w:rsid w:val="005A3BC6"/>
    <w:pPr>
      <w:spacing w:after="0" w:line="240" w:lineRule="auto"/>
    </w:pPr>
    <w:rPr>
      <w:rFonts w:eastAsiaTheme="minorEastAsia"/>
      <w:lang w:val="en-US"/>
    </w:rPr>
    <w:tblPr>
      <w:tblCellMar>
        <w:top w:w="0" w:type="dxa"/>
        <w:left w:w="0" w:type="dxa"/>
        <w:bottom w:w="0" w:type="dxa"/>
        <w:right w:w="0" w:type="dxa"/>
      </w:tblCellMar>
    </w:tblPr>
  </w:style>
  <w:style w:type="table" w:styleId="TableGrid0">
    <w:name w:val="Table Grid"/>
    <w:basedOn w:val="TableNormal"/>
    <w:uiPriority w:val="39"/>
    <w:rsid w:val="005A3B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Grid6"/>
    <w:rsid w:val="0020706D"/>
    <w:pPr>
      <w:spacing w:after="0" w:line="240" w:lineRule="auto"/>
    </w:pPr>
    <w:rPr>
      <w:rFonts w:eastAsia="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0742787">
      <w:bodyDiv w:val="1"/>
      <w:marLeft w:val="0"/>
      <w:marRight w:val="0"/>
      <w:marTop w:val="0"/>
      <w:marBottom w:val="0"/>
      <w:divBdr>
        <w:top w:val="none" w:sz="0" w:space="0" w:color="auto"/>
        <w:left w:val="none" w:sz="0" w:space="0" w:color="auto"/>
        <w:bottom w:val="none" w:sz="0" w:space="0" w:color="auto"/>
        <w:right w:val="none" w:sz="0" w:space="0" w:color="auto"/>
      </w:divBdr>
    </w:div>
    <w:div w:id="1996565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image" Target="media/image11.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g"/><Relationship Id="rId10" Type="http://schemas.openxmlformats.org/officeDocument/2006/relationships/image" Target="media/image3.jpg"/><Relationship Id="rId19" Type="http://schemas.openxmlformats.org/officeDocument/2006/relationships/image" Target="media/image12.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5BA4A-1748-4D35-9985-BA2F34C48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7</Pages>
  <Words>2863</Words>
  <Characters>16322</Characters>
  <Application>Microsoft Office Word</Application>
  <DocSecurity>0</DocSecurity>
  <Lines>136</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Roatis Alina</dc:creator>
  <cp:keywords/>
  <dc:description/>
  <cp:lastModifiedBy>Luminita Roman</cp:lastModifiedBy>
  <cp:revision>108</cp:revision>
  <cp:lastPrinted>2023-06-23T10:27:00Z</cp:lastPrinted>
  <dcterms:created xsi:type="dcterms:W3CDTF">2023-12-14T08:43:00Z</dcterms:created>
  <dcterms:modified xsi:type="dcterms:W3CDTF">2023-12-20T14:05:00Z</dcterms:modified>
</cp:coreProperties>
</file>